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9C415A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9C415A">
        <w:rPr>
          <w:rFonts w:ascii="Times New Roman" w:eastAsia="Times New Roman" w:hAnsi="Times New Roman"/>
          <w:sz w:val="22"/>
          <w:szCs w:val="22"/>
        </w:rPr>
        <w:t>386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C415A">
        <w:rPr>
          <w:rFonts w:ascii="Times New Roman" w:eastAsia="Times New Roman" w:hAnsi="Times New Roman"/>
          <w:sz w:val="22"/>
          <w:szCs w:val="22"/>
        </w:rPr>
        <w:t xml:space="preserve"> </w:t>
      </w:r>
      <w:r w:rsidR="0030396A">
        <w:rPr>
          <w:rFonts w:ascii="Times New Roman" w:eastAsia="Times New Roman" w:hAnsi="Times New Roman"/>
          <w:sz w:val="22"/>
          <w:szCs w:val="22"/>
        </w:rPr>
        <w:t>I</w:t>
      </w:r>
      <w:r w:rsidR="0030396A" w:rsidRPr="009C415A">
        <w:rPr>
          <w:rFonts w:ascii="Times New Roman" w:eastAsia="Times New Roman" w:hAnsi="Times New Roman"/>
          <w:sz w:val="22"/>
          <w:szCs w:val="22"/>
        </w:rPr>
        <w:t>nstitui a obrigatoriedade de emissão de atestado de castração de animais domésticos no município de Sete Lagoas e dá outras providências</w:t>
      </w:r>
      <w:r w:rsidR="0030396A">
        <w:rPr>
          <w:rFonts w:ascii="Times New Roman" w:eastAsia="Times New Roman" w:hAnsi="Times New Roman"/>
          <w:sz w:val="22"/>
          <w:szCs w:val="22"/>
        </w:rPr>
        <w:t>.</w:t>
      </w:r>
    </w:p>
    <w:p w:rsidR="009C415A" w:rsidRPr="006B1F16" w:rsidRDefault="009C415A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</w:t>
      </w:r>
      <w:r w:rsidR="009C415A">
        <w:rPr>
          <w:rFonts w:ascii="Times New Roman" w:eastAsia="Times New Roman" w:hAnsi="Times New Roman"/>
          <w:sz w:val="22"/>
          <w:szCs w:val="22"/>
        </w:rPr>
        <w:t xml:space="preserve">r Gilson </w:t>
      </w:r>
      <w:proofErr w:type="spellStart"/>
      <w:r w:rsidR="009C415A">
        <w:rPr>
          <w:rFonts w:ascii="Times New Roman" w:eastAsia="Times New Roman" w:hAnsi="Times New Roman"/>
          <w:sz w:val="22"/>
          <w:szCs w:val="22"/>
        </w:rPr>
        <w:t>Liboreiro</w:t>
      </w:r>
      <w:proofErr w:type="spellEnd"/>
      <w:r w:rsidR="009C415A">
        <w:rPr>
          <w:rFonts w:ascii="Times New Roman" w:eastAsia="Times New Roman" w:hAnsi="Times New Roman"/>
          <w:sz w:val="22"/>
          <w:szCs w:val="22"/>
        </w:rPr>
        <w:t xml:space="preserve"> da Silva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9C415A" w:rsidRDefault="00443F1D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9D677D" w:rsidRPr="009D677D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3C5CEB">
        <w:rPr>
          <w:rFonts w:ascii="Times New Roman" w:eastAsia="Times New Roman" w:hAnsi="Times New Roman"/>
          <w:sz w:val="22"/>
          <w:szCs w:val="22"/>
        </w:rPr>
        <w:t xml:space="preserve">a </w:t>
      </w:r>
      <w:r w:rsidR="0030396A" w:rsidRPr="0030396A">
        <w:rPr>
          <w:rFonts w:ascii="Times New Roman" w:eastAsia="Times New Roman" w:hAnsi="Times New Roman"/>
          <w:sz w:val="22"/>
          <w:szCs w:val="22"/>
        </w:rPr>
        <w:t>obrigatoriedade de emissão de atestado de castração de animais domésticos no município de Sete Lagoas e dá outras providências</w:t>
      </w:r>
      <w:r w:rsidR="0030396A">
        <w:rPr>
          <w:rFonts w:ascii="Times New Roman" w:eastAsia="Times New Roman" w:hAnsi="Times New Roman"/>
          <w:sz w:val="22"/>
          <w:szCs w:val="22"/>
        </w:rPr>
        <w:t>.</w:t>
      </w:r>
    </w:p>
    <w:p w:rsidR="0030396A" w:rsidRPr="002C2876" w:rsidRDefault="0030396A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DF498D" w:rsidRPr="00DF498D" w:rsidRDefault="00DF498D" w:rsidP="00DF498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Presentes na reunião os vereadores competentes da comissão acima citada, a vereadora Marli</w:t>
      </w:r>
      <w:r w:rsidR="00BA3834">
        <w:rPr>
          <w:rFonts w:ascii="Times New Roman" w:hAnsi="Times New Roman"/>
          <w:color w:val="auto"/>
          <w:kern w:val="2"/>
          <w:sz w:val="22"/>
          <w:szCs w:val="22"/>
        </w:rPr>
        <w:t xml:space="preserve"> Aparecida Barbosa (</w:t>
      </w:r>
      <w:r w:rsidRPr="00DF498D">
        <w:rPr>
          <w:rFonts w:ascii="Times New Roman" w:hAnsi="Times New Roman"/>
          <w:color w:val="auto"/>
          <w:kern w:val="2"/>
          <w:sz w:val="22"/>
          <w:szCs w:val="22"/>
        </w:rPr>
        <w:t xml:space="preserve">Presidente) e os vereadores </w:t>
      </w:r>
      <w:r w:rsidR="00166AF8">
        <w:rPr>
          <w:rFonts w:ascii="Times New Roman" w:hAnsi="Times New Roman"/>
          <w:color w:val="auto"/>
          <w:kern w:val="2"/>
          <w:sz w:val="22"/>
          <w:szCs w:val="22"/>
        </w:rPr>
        <w:t>José Pereira da Silva (</w:t>
      </w: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Vogal) e Euro de Andrade Lanza (Relator),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proofErr w:type="gramStart"/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>projeto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não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apresenta quaisquer obstáculos constitucionais, legais ou regimentais, estando amparado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30396A">
        <w:rPr>
          <w:rFonts w:ascii="Times New Roman" w:eastAsia="Times New Roman" w:hAnsi="Times New Roman"/>
          <w:sz w:val="22"/>
          <w:szCs w:val="22"/>
        </w:rPr>
        <w:t>386</w:t>
      </w:r>
      <w:bookmarkStart w:id="0" w:name="_GoBack"/>
      <w:bookmarkEnd w:id="0"/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Pr="006B1F16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B010D7">
        <w:rPr>
          <w:rFonts w:ascii="Times New Roman" w:hAnsi="Times New Roman"/>
          <w:sz w:val="22"/>
          <w:szCs w:val="22"/>
        </w:rPr>
        <w:t>2</w:t>
      </w:r>
      <w:r w:rsidR="00BA3834">
        <w:rPr>
          <w:rFonts w:ascii="Times New Roman" w:hAnsi="Times New Roman"/>
          <w:sz w:val="22"/>
          <w:szCs w:val="22"/>
        </w:rPr>
        <w:t>8 de agosto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Euro de Andrade Lanza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Relator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 O T O S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De acordo com o relator.</w:t>
      </w:r>
    </w:p>
    <w:p w:rsid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Marli Aparecida Barbosa</w:t>
      </w: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>
        <w:rPr>
          <w:rFonts w:ascii="Times New Roman" w:hAnsi="Times New Roman"/>
          <w:color w:val="auto"/>
          <w:kern w:val="2"/>
          <w:sz w:val="22"/>
          <w:szCs w:val="22"/>
        </w:rPr>
        <w:t>Presidente</w:t>
      </w: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>
        <w:rPr>
          <w:rFonts w:ascii="Times New Roman" w:hAnsi="Times New Roman"/>
          <w:color w:val="auto"/>
          <w:kern w:val="2"/>
          <w:sz w:val="22"/>
          <w:szCs w:val="22"/>
        </w:rPr>
        <w:t>José Pereira da Silva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Vogal</w:t>
      </w: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10C" w:rsidRDefault="0077410C" w:rsidP="00A834A1">
      <w:pPr>
        <w:spacing w:line="240" w:lineRule="auto"/>
      </w:pPr>
      <w:r>
        <w:separator/>
      </w:r>
    </w:p>
  </w:endnote>
  <w:endnote w:type="continuationSeparator" w:id="0">
    <w:p w:rsidR="0077410C" w:rsidRDefault="0077410C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10C" w:rsidRDefault="0077410C" w:rsidP="00A834A1">
      <w:pPr>
        <w:spacing w:line="240" w:lineRule="auto"/>
      </w:pPr>
      <w:r>
        <w:separator/>
      </w:r>
    </w:p>
  </w:footnote>
  <w:footnote w:type="continuationSeparator" w:id="0">
    <w:p w:rsidR="0077410C" w:rsidRDefault="0077410C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E721A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66AF8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249E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0396A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22F1"/>
    <w:rsid w:val="00393315"/>
    <w:rsid w:val="00395B83"/>
    <w:rsid w:val="0039633B"/>
    <w:rsid w:val="00396CCC"/>
    <w:rsid w:val="003979CC"/>
    <w:rsid w:val="003B1972"/>
    <w:rsid w:val="003B3A9B"/>
    <w:rsid w:val="003B45AE"/>
    <w:rsid w:val="003C5CEB"/>
    <w:rsid w:val="003C5D43"/>
    <w:rsid w:val="003D428D"/>
    <w:rsid w:val="003D5419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8573D"/>
    <w:rsid w:val="00493F2D"/>
    <w:rsid w:val="0049781C"/>
    <w:rsid w:val="004978EF"/>
    <w:rsid w:val="004A3384"/>
    <w:rsid w:val="004C5959"/>
    <w:rsid w:val="004C5B33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575D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A7B1C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671B4"/>
    <w:rsid w:val="0077410C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43D14"/>
    <w:rsid w:val="008627FC"/>
    <w:rsid w:val="00867114"/>
    <w:rsid w:val="00874A94"/>
    <w:rsid w:val="00880226"/>
    <w:rsid w:val="00882D31"/>
    <w:rsid w:val="008861F7"/>
    <w:rsid w:val="00890CFC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065EE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34A6"/>
    <w:rsid w:val="009A4623"/>
    <w:rsid w:val="009C415A"/>
    <w:rsid w:val="009D5706"/>
    <w:rsid w:val="009D677D"/>
    <w:rsid w:val="009D7DC3"/>
    <w:rsid w:val="009E6CDF"/>
    <w:rsid w:val="00A007A8"/>
    <w:rsid w:val="00A12CD5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010D7"/>
    <w:rsid w:val="00B16A7D"/>
    <w:rsid w:val="00B30E33"/>
    <w:rsid w:val="00B31D4D"/>
    <w:rsid w:val="00B334F4"/>
    <w:rsid w:val="00B36F45"/>
    <w:rsid w:val="00B453DF"/>
    <w:rsid w:val="00B61AA5"/>
    <w:rsid w:val="00B72C43"/>
    <w:rsid w:val="00B91805"/>
    <w:rsid w:val="00B95575"/>
    <w:rsid w:val="00B976DA"/>
    <w:rsid w:val="00BA0B93"/>
    <w:rsid w:val="00BA3834"/>
    <w:rsid w:val="00BB3D1C"/>
    <w:rsid w:val="00BB3DAE"/>
    <w:rsid w:val="00BD3FAD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E4CF0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498D"/>
    <w:rsid w:val="00DF5D89"/>
    <w:rsid w:val="00DF65F2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2749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A162A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28C02-4E82-4449-9475-211914C8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2019-09-03T14:45:00Z</cp:lastPrinted>
  <dcterms:created xsi:type="dcterms:W3CDTF">2019-09-03T14:45:00Z</dcterms:created>
  <dcterms:modified xsi:type="dcterms:W3CDTF">2019-09-03T14:45:00Z</dcterms:modified>
</cp:coreProperties>
</file>