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7B08E7">
        <w:rPr>
          <w:rFonts w:ascii="Times New Roman" w:eastAsia="Times New Roman" w:hAnsi="Times New Roman"/>
          <w:sz w:val="28"/>
          <w:szCs w:val="28"/>
        </w:rPr>
        <w:t xml:space="preserve"> Anteprojeto de Lei nº 95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08E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08E7">
        <w:rPr>
          <w:rFonts w:ascii="Times New Roman" w:eastAsia="Times New Roman" w:hAnsi="Times New Roman"/>
          <w:sz w:val="28"/>
          <w:szCs w:val="28"/>
        </w:rPr>
        <w:t>Institui no município de Sete Lagoas o programa “Livraria Cidadã” e dá outras providências”.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7B08E7">
        <w:rPr>
          <w:rFonts w:ascii="Times New Roman" w:eastAsia="Times New Roman" w:hAnsi="Times New Roman"/>
          <w:sz w:val="28"/>
          <w:szCs w:val="28"/>
        </w:rPr>
        <w:t xml:space="preserve"> Vereadora Marli Aparecida Barbosa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08E7" w:rsidRDefault="00221230" w:rsidP="001430D5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7B08E7">
        <w:rPr>
          <w:rFonts w:ascii="Times New Roman" w:eastAsia="Times New Roman" w:hAnsi="Times New Roman"/>
          <w:sz w:val="28"/>
          <w:szCs w:val="28"/>
        </w:rPr>
        <w:t>vise instituir no município de Sete Lagoas o programa Livraria Cidadã.</w:t>
      </w:r>
    </w:p>
    <w:p w:rsidR="007B08E7" w:rsidRDefault="007B08E7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C12BC1" w:rsidRDefault="00C12BC1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7B08E7">
        <w:rPr>
          <w:rFonts w:ascii="Times New Roman" w:hAnsi="Times New Roman" w:cs="Times New Roman"/>
          <w:sz w:val="28"/>
          <w:szCs w:val="28"/>
        </w:rPr>
        <w:t>jeto de Lei nº 95</w:t>
      </w:r>
      <w:r w:rsidR="00C44EEB">
        <w:rPr>
          <w:rFonts w:ascii="Times New Roman" w:hAnsi="Times New Roman" w:cs="Times New Roman"/>
          <w:sz w:val="28"/>
          <w:szCs w:val="28"/>
        </w:rPr>
        <w:t>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7B08E7">
        <w:rPr>
          <w:rFonts w:ascii="Times New Roman" w:hAnsi="Times New Roman" w:cs="Times New Roman"/>
          <w:sz w:val="28"/>
          <w:szCs w:val="28"/>
        </w:rPr>
        <w:t>02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C3828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AC3828">
        <w:rPr>
          <w:rFonts w:ascii="Times New Roman" w:hAnsi="Times New Roman" w:cs="Times New Roman"/>
          <w:sz w:val="28"/>
          <w:szCs w:val="28"/>
        </w:rPr>
        <w:t>Membro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4D" w:rsidRDefault="00DE6A4D" w:rsidP="00513AD9">
      <w:pPr>
        <w:spacing w:after="0"/>
      </w:pPr>
      <w:r>
        <w:separator/>
      </w:r>
    </w:p>
  </w:endnote>
  <w:endnote w:type="continuationSeparator" w:id="0">
    <w:p w:rsidR="00DE6A4D" w:rsidRDefault="00DE6A4D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4D" w:rsidRDefault="00DE6A4D" w:rsidP="00513AD9">
      <w:pPr>
        <w:spacing w:after="0"/>
      </w:pPr>
      <w:r>
        <w:separator/>
      </w:r>
    </w:p>
  </w:footnote>
  <w:footnote w:type="continuationSeparator" w:id="0">
    <w:p w:rsidR="00DE6A4D" w:rsidRDefault="00DE6A4D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1430D5"/>
    <w:rsid w:val="001F524E"/>
    <w:rsid w:val="00221230"/>
    <w:rsid w:val="002C2E4C"/>
    <w:rsid w:val="00345762"/>
    <w:rsid w:val="00386149"/>
    <w:rsid w:val="003C3A01"/>
    <w:rsid w:val="00453CB0"/>
    <w:rsid w:val="0049281B"/>
    <w:rsid w:val="005030E2"/>
    <w:rsid w:val="00513AD9"/>
    <w:rsid w:val="005E180D"/>
    <w:rsid w:val="005F2E69"/>
    <w:rsid w:val="00655D70"/>
    <w:rsid w:val="006B0CA2"/>
    <w:rsid w:val="007123FA"/>
    <w:rsid w:val="007469C4"/>
    <w:rsid w:val="007725D1"/>
    <w:rsid w:val="007A3FE3"/>
    <w:rsid w:val="007B08E7"/>
    <w:rsid w:val="00883EC5"/>
    <w:rsid w:val="008C719D"/>
    <w:rsid w:val="008E14AB"/>
    <w:rsid w:val="009D1D0F"/>
    <w:rsid w:val="009E1668"/>
    <w:rsid w:val="009E75DF"/>
    <w:rsid w:val="009F0D39"/>
    <w:rsid w:val="00A47ABD"/>
    <w:rsid w:val="00AC3828"/>
    <w:rsid w:val="00B2576A"/>
    <w:rsid w:val="00C12BC1"/>
    <w:rsid w:val="00C44EEB"/>
    <w:rsid w:val="00C94A62"/>
    <w:rsid w:val="00D54992"/>
    <w:rsid w:val="00DB592D"/>
    <w:rsid w:val="00DE6A4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2019-03-07T18:12:00Z</dcterms:created>
  <dcterms:modified xsi:type="dcterms:W3CDTF">2019-05-06T20:59:00Z</dcterms:modified>
</cp:coreProperties>
</file>