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21" w:rsidRPr="00DA7042" w:rsidRDefault="00E62921" w:rsidP="003A1151">
      <w:pPr>
        <w:spacing w:line="360" w:lineRule="auto"/>
        <w:jc w:val="center"/>
        <w:rPr>
          <w:rFonts w:ascii="Times New Roman" w:hAnsi="Times New Roman"/>
          <w:b/>
          <w:bCs/>
          <w:sz w:val="22"/>
          <w:szCs w:val="22"/>
        </w:rPr>
      </w:pPr>
      <w:r w:rsidRPr="00DA7042">
        <w:rPr>
          <w:rFonts w:ascii="Times New Roman" w:hAnsi="Times New Roman"/>
          <w:b/>
          <w:bCs/>
          <w:sz w:val="22"/>
          <w:szCs w:val="22"/>
        </w:rPr>
        <w:t>PARECER REGIMENTAL</w:t>
      </w:r>
    </w:p>
    <w:p w:rsidR="00E62921" w:rsidRPr="00DA7042" w:rsidRDefault="00E62921" w:rsidP="003A1151">
      <w:pPr>
        <w:spacing w:line="360" w:lineRule="auto"/>
        <w:jc w:val="center"/>
        <w:rPr>
          <w:rFonts w:ascii="Times New Roman" w:hAnsi="Times New Roman"/>
          <w:b/>
          <w:bCs/>
          <w:sz w:val="22"/>
          <w:szCs w:val="22"/>
        </w:rPr>
      </w:pPr>
    </w:p>
    <w:p w:rsidR="004D5F47" w:rsidRPr="00DA7042" w:rsidRDefault="00E62921" w:rsidP="003A1151">
      <w:pPr>
        <w:spacing w:line="360" w:lineRule="auto"/>
        <w:jc w:val="center"/>
        <w:rPr>
          <w:rFonts w:ascii="Times New Roman" w:hAnsi="Times New Roman"/>
          <w:b/>
          <w:bCs/>
          <w:sz w:val="22"/>
          <w:szCs w:val="22"/>
        </w:rPr>
      </w:pPr>
      <w:r w:rsidRPr="00DA7042">
        <w:rPr>
          <w:rFonts w:ascii="Times New Roman" w:hAnsi="Times New Roman"/>
          <w:b/>
          <w:bCs/>
          <w:sz w:val="22"/>
          <w:szCs w:val="22"/>
        </w:rPr>
        <w:t>COMISSÃO DE LEGISLAÇÃO E JUSTIÇA</w:t>
      </w:r>
    </w:p>
    <w:p w:rsidR="004D5F47" w:rsidRPr="00DA7042" w:rsidRDefault="004D5F47" w:rsidP="003A1151">
      <w:pPr>
        <w:spacing w:line="360" w:lineRule="auto"/>
        <w:jc w:val="both"/>
        <w:rPr>
          <w:rFonts w:ascii="Times New Roman" w:hAnsi="Times New Roman"/>
          <w:b/>
          <w:bCs/>
          <w:sz w:val="22"/>
          <w:szCs w:val="22"/>
        </w:rPr>
      </w:pPr>
    </w:p>
    <w:p w:rsidR="00793D81" w:rsidRPr="00DA7042" w:rsidRDefault="004D5F47" w:rsidP="003A1151">
      <w:pPr>
        <w:spacing w:line="360" w:lineRule="auto"/>
        <w:jc w:val="both"/>
        <w:rPr>
          <w:rFonts w:ascii="Times New Roman" w:hAnsi="Times New Roman"/>
          <w:sz w:val="22"/>
          <w:szCs w:val="22"/>
        </w:rPr>
      </w:pPr>
      <w:r w:rsidRPr="00DA7042">
        <w:rPr>
          <w:rFonts w:ascii="Times New Roman" w:hAnsi="Times New Roman"/>
          <w:b/>
          <w:bCs/>
          <w:sz w:val="22"/>
          <w:szCs w:val="22"/>
        </w:rPr>
        <w:t xml:space="preserve">MATÉRIA: </w:t>
      </w:r>
      <w:r w:rsidRPr="00DA7042">
        <w:rPr>
          <w:rFonts w:ascii="Times New Roman" w:hAnsi="Times New Roman"/>
          <w:sz w:val="22"/>
          <w:szCs w:val="22"/>
        </w:rPr>
        <w:t xml:space="preserve">Projeto de Lei </w:t>
      </w:r>
      <w:r w:rsidR="004A5AA6" w:rsidRPr="00DA7042">
        <w:rPr>
          <w:rFonts w:ascii="Times New Roman" w:hAnsi="Times New Roman"/>
          <w:sz w:val="22"/>
          <w:szCs w:val="22"/>
        </w:rPr>
        <w:t>Ordinária</w:t>
      </w:r>
      <w:r w:rsidR="0064799D" w:rsidRPr="00DA7042">
        <w:rPr>
          <w:rFonts w:ascii="Times New Roman" w:hAnsi="Times New Roman"/>
          <w:sz w:val="22"/>
          <w:szCs w:val="22"/>
        </w:rPr>
        <w:t xml:space="preserve"> nº 413</w:t>
      </w:r>
      <w:r w:rsidR="00225698" w:rsidRPr="00DA7042">
        <w:rPr>
          <w:rFonts w:ascii="Times New Roman" w:hAnsi="Times New Roman"/>
          <w:sz w:val="22"/>
          <w:szCs w:val="22"/>
        </w:rPr>
        <w:t>/</w:t>
      </w:r>
      <w:r w:rsidR="0064799D" w:rsidRPr="00DA7042">
        <w:rPr>
          <w:rFonts w:ascii="Times New Roman" w:hAnsi="Times New Roman"/>
          <w:sz w:val="22"/>
          <w:szCs w:val="22"/>
        </w:rPr>
        <w:t>2018</w:t>
      </w:r>
      <w:r w:rsidRPr="00DA7042">
        <w:rPr>
          <w:rFonts w:ascii="Times New Roman" w:hAnsi="Times New Roman"/>
          <w:sz w:val="22"/>
          <w:szCs w:val="22"/>
        </w:rPr>
        <w:t xml:space="preserve"> </w:t>
      </w:r>
      <w:r w:rsidR="007C5755" w:rsidRPr="00DA7042">
        <w:rPr>
          <w:rFonts w:ascii="Times New Roman" w:hAnsi="Times New Roman"/>
          <w:sz w:val="22"/>
          <w:szCs w:val="22"/>
        </w:rPr>
        <w:t xml:space="preserve">- </w:t>
      </w:r>
      <w:r w:rsidR="0064799D" w:rsidRPr="00DA7042">
        <w:rPr>
          <w:rFonts w:ascii="Times New Roman" w:hAnsi="Times New Roman"/>
          <w:sz w:val="22"/>
          <w:szCs w:val="22"/>
        </w:rPr>
        <w:t>Denomina PROCON “Programa Municipal de Orientação e Defesa do Consumidor” Eduardo Andrade Lanza.</w:t>
      </w:r>
    </w:p>
    <w:p w:rsidR="0064799D" w:rsidRPr="00DA7042" w:rsidRDefault="0064799D" w:rsidP="003A1151">
      <w:pPr>
        <w:spacing w:line="360" w:lineRule="auto"/>
        <w:jc w:val="both"/>
        <w:rPr>
          <w:rFonts w:ascii="Times New Roman" w:hAnsi="Times New Roman"/>
          <w:sz w:val="22"/>
          <w:szCs w:val="22"/>
        </w:rPr>
      </w:pPr>
    </w:p>
    <w:p w:rsidR="004D5F47" w:rsidRPr="00DA7042" w:rsidRDefault="004D5F47" w:rsidP="003A1151">
      <w:pPr>
        <w:pBdr>
          <w:bottom w:val="single" w:sz="8" w:space="2" w:color="000000"/>
        </w:pBdr>
        <w:spacing w:line="360" w:lineRule="auto"/>
        <w:jc w:val="both"/>
        <w:rPr>
          <w:rFonts w:ascii="Times New Roman" w:hAnsi="Times New Roman"/>
          <w:sz w:val="22"/>
          <w:szCs w:val="22"/>
        </w:rPr>
      </w:pPr>
      <w:r w:rsidRPr="00DA7042">
        <w:rPr>
          <w:rFonts w:ascii="Times New Roman" w:hAnsi="Times New Roman"/>
          <w:b/>
          <w:bCs/>
          <w:sz w:val="22"/>
          <w:szCs w:val="22"/>
        </w:rPr>
        <w:t>AUTOR:</w:t>
      </w:r>
      <w:r w:rsidRPr="00DA7042">
        <w:rPr>
          <w:rFonts w:ascii="Times New Roman" w:hAnsi="Times New Roman"/>
          <w:sz w:val="22"/>
          <w:szCs w:val="22"/>
        </w:rPr>
        <w:t xml:space="preserve"> </w:t>
      </w:r>
      <w:r w:rsidR="002774F4" w:rsidRPr="00DA7042">
        <w:rPr>
          <w:rFonts w:ascii="Times New Roman" w:hAnsi="Times New Roman"/>
          <w:sz w:val="22"/>
          <w:szCs w:val="22"/>
        </w:rPr>
        <w:t xml:space="preserve">Vereador </w:t>
      </w:r>
      <w:r w:rsidR="0064799D" w:rsidRPr="00DA7042">
        <w:rPr>
          <w:rFonts w:ascii="Times New Roman" w:hAnsi="Times New Roman"/>
          <w:sz w:val="22"/>
          <w:szCs w:val="22"/>
        </w:rPr>
        <w:t>Euro de Andrade Lanza</w:t>
      </w:r>
    </w:p>
    <w:p w:rsidR="004D5F47" w:rsidRPr="00DA7042" w:rsidRDefault="004D5F47" w:rsidP="003A1151">
      <w:pPr>
        <w:spacing w:line="360" w:lineRule="auto"/>
        <w:ind w:firstLine="2268"/>
        <w:jc w:val="both"/>
        <w:rPr>
          <w:rFonts w:ascii="Times New Roman" w:hAnsi="Times New Roman"/>
          <w:sz w:val="22"/>
          <w:szCs w:val="22"/>
        </w:rPr>
      </w:pPr>
    </w:p>
    <w:p w:rsidR="004D5F47" w:rsidRDefault="004D5F47" w:rsidP="00DA7042">
      <w:pPr>
        <w:spacing w:line="360" w:lineRule="auto"/>
        <w:ind w:firstLine="2268"/>
        <w:jc w:val="both"/>
        <w:rPr>
          <w:rFonts w:ascii="Times New Roman" w:hAnsi="Times New Roman"/>
          <w:sz w:val="22"/>
          <w:szCs w:val="22"/>
        </w:rPr>
      </w:pPr>
      <w:r w:rsidRPr="00DA7042">
        <w:rPr>
          <w:rFonts w:ascii="Times New Roman" w:hAnsi="Times New Roman"/>
          <w:sz w:val="22"/>
          <w:szCs w:val="22"/>
          <w:u w:val="single"/>
        </w:rPr>
        <w:t>Relatório</w:t>
      </w:r>
    </w:p>
    <w:p w:rsidR="00DA7042" w:rsidRPr="00DA7042" w:rsidRDefault="00DA7042" w:rsidP="00DA7042">
      <w:pPr>
        <w:spacing w:line="360" w:lineRule="auto"/>
        <w:ind w:firstLine="2268"/>
        <w:jc w:val="both"/>
        <w:rPr>
          <w:rFonts w:ascii="Times New Roman" w:hAnsi="Times New Roman"/>
          <w:sz w:val="22"/>
          <w:szCs w:val="22"/>
        </w:rPr>
      </w:pPr>
    </w:p>
    <w:p w:rsidR="002774F4" w:rsidRPr="00DA7042" w:rsidRDefault="003A1151" w:rsidP="00DA7042">
      <w:pPr>
        <w:spacing w:line="360" w:lineRule="auto"/>
        <w:ind w:firstLine="2268"/>
        <w:jc w:val="both"/>
        <w:rPr>
          <w:rFonts w:ascii="Times New Roman" w:hAnsi="Times New Roman"/>
          <w:sz w:val="22"/>
          <w:szCs w:val="22"/>
        </w:rPr>
      </w:pPr>
      <w:r w:rsidRPr="00DA7042">
        <w:rPr>
          <w:rFonts w:ascii="Times New Roman" w:hAnsi="Times New Roman"/>
          <w:sz w:val="22"/>
          <w:szCs w:val="22"/>
        </w:rPr>
        <w:t>A proposição ora apreciada</w:t>
      </w:r>
      <w:r w:rsidR="004D5F47" w:rsidRPr="00DA7042">
        <w:rPr>
          <w:rFonts w:ascii="Times New Roman" w:hAnsi="Times New Roman"/>
          <w:sz w:val="22"/>
          <w:szCs w:val="22"/>
        </w:rPr>
        <w:t xml:space="preserve">, visa </w:t>
      </w:r>
      <w:r w:rsidR="00A66FF0" w:rsidRPr="00DA7042">
        <w:rPr>
          <w:rFonts w:ascii="Times New Roman" w:hAnsi="Times New Roman"/>
          <w:sz w:val="22"/>
          <w:szCs w:val="22"/>
        </w:rPr>
        <w:t>dispor</w:t>
      </w:r>
      <w:r w:rsidR="00587AE0" w:rsidRPr="00DA7042">
        <w:rPr>
          <w:rFonts w:ascii="Times New Roman" w:hAnsi="Times New Roman"/>
          <w:sz w:val="22"/>
          <w:szCs w:val="22"/>
        </w:rPr>
        <w:t xml:space="preserve"> </w:t>
      </w:r>
      <w:r w:rsidRPr="00DA7042">
        <w:rPr>
          <w:rFonts w:ascii="Times New Roman" w:hAnsi="Times New Roman"/>
          <w:sz w:val="22"/>
          <w:szCs w:val="22"/>
        </w:rPr>
        <w:t xml:space="preserve">sobre a </w:t>
      </w:r>
      <w:r w:rsidR="0064799D" w:rsidRPr="00DA7042">
        <w:rPr>
          <w:rFonts w:ascii="Times New Roman" w:hAnsi="Times New Roman"/>
          <w:sz w:val="22"/>
          <w:szCs w:val="22"/>
        </w:rPr>
        <w:t>denominação</w:t>
      </w:r>
      <w:r w:rsidRPr="00DA7042">
        <w:rPr>
          <w:rFonts w:ascii="Times New Roman" w:hAnsi="Times New Roman"/>
          <w:sz w:val="22"/>
          <w:szCs w:val="22"/>
        </w:rPr>
        <w:t xml:space="preserve"> </w:t>
      </w:r>
      <w:r w:rsidR="002774F4" w:rsidRPr="00DA7042">
        <w:rPr>
          <w:rFonts w:ascii="Times New Roman" w:hAnsi="Times New Roman"/>
          <w:sz w:val="22"/>
          <w:szCs w:val="22"/>
        </w:rPr>
        <w:t>do</w:t>
      </w:r>
      <w:r w:rsidR="002E09CC" w:rsidRPr="00DA7042">
        <w:rPr>
          <w:rFonts w:ascii="Times New Roman" w:hAnsi="Times New Roman"/>
          <w:sz w:val="22"/>
          <w:szCs w:val="22"/>
        </w:rPr>
        <w:t xml:space="preserve"> </w:t>
      </w:r>
      <w:r w:rsidR="0064799D" w:rsidRPr="00DA7042">
        <w:rPr>
          <w:rFonts w:ascii="Times New Roman" w:hAnsi="Times New Roman"/>
          <w:sz w:val="22"/>
          <w:szCs w:val="22"/>
        </w:rPr>
        <w:t>PROCON “Programa Municipal de Orientação e Defesa do Consumidor” Eduardo Andrade Lanza.</w:t>
      </w:r>
    </w:p>
    <w:p w:rsidR="004D5F47" w:rsidRPr="00DA7042" w:rsidRDefault="004D5F47" w:rsidP="00DA7042">
      <w:pPr>
        <w:spacing w:line="360" w:lineRule="auto"/>
        <w:ind w:firstLine="2268"/>
        <w:jc w:val="both"/>
        <w:rPr>
          <w:rFonts w:ascii="Times New Roman" w:hAnsi="Times New Roman"/>
          <w:sz w:val="22"/>
          <w:szCs w:val="22"/>
        </w:rPr>
      </w:pPr>
      <w:r w:rsidRPr="00DA7042">
        <w:rPr>
          <w:rFonts w:ascii="Times New Roman" w:hAnsi="Times New Roman"/>
          <w:sz w:val="22"/>
          <w:szCs w:val="22"/>
        </w:rPr>
        <w:t xml:space="preserve">O projeto de lei </w:t>
      </w:r>
      <w:r w:rsidR="00547358" w:rsidRPr="00DA7042">
        <w:rPr>
          <w:rFonts w:ascii="Times New Roman" w:hAnsi="Times New Roman"/>
          <w:sz w:val="22"/>
          <w:szCs w:val="22"/>
        </w:rPr>
        <w:t>ordinária</w:t>
      </w:r>
      <w:r w:rsidRPr="00DA7042">
        <w:rPr>
          <w:rFonts w:ascii="Times New Roman" w:hAnsi="Times New Roman"/>
          <w:sz w:val="22"/>
          <w:szCs w:val="22"/>
        </w:rPr>
        <w:t xml:space="preserve"> foi distribuído nesta data à Comissão </w:t>
      </w:r>
      <w:r w:rsidR="00E62921" w:rsidRPr="00DA7042">
        <w:rPr>
          <w:rFonts w:ascii="Times New Roman" w:hAnsi="Times New Roman"/>
          <w:sz w:val="22"/>
          <w:szCs w:val="22"/>
        </w:rPr>
        <w:t>de Legislação e Justiça (CLJ)</w:t>
      </w:r>
      <w:r w:rsidRPr="00DA7042">
        <w:rPr>
          <w:rFonts w:ascii="Times New Roman" w:hAnsi="Times New Roman"/>
          <w:sz w:val="22"/>
          <w:szCs w:val="22"/>
        </w:rPr>
        <w:t xml:space="preserve"> para receber parecer respectivamente quanto aos aspectos de sua juridicidade, constitucionalidade e legalidade, nos termos do disposto </w:t>
      </w:r>
      <w:r w:rsidR="005A0D89" w:rsidRPr="00DA7042">
        <w:rPr>
          <w:rFonts w:ascii="Times New Roman" w:hAnsi="Times New Roman"/>
          <w:sz w:val="22"/>
          <w:szCs w:val="22"/>
        </w:rPr>
        <w:t>n</w:t>
      </w:r>
      <w:r w:rsidR="002B45C0" w:rsidRPr="00DA7042">
        <w:rPr>
          <w:rFonts w:ascii="Times New Roman" w:hAnsi="Times New Roman"/>
          <w:sz w:val="22"/>
          <w:szCs w:val="22"/>
        </w:rPr>
        <w:t>o art. 99 c/c arts. 69; 83, §1º</w:t>
      </w:r>
      <w:r w:rsidR="005A0D89" w:rsidRPr="00DA7042">
        <w:rPr>
          <w:rFonts w:ascii="Times New Roman" w:hAnsi="Times New Roman"/>
          <w:sz w:val="22"/>
          <w:szCs w:val="22"/>
        </w:rPr>
        <w:t>; e 108</w:t>
      </w:r>
      <w:r w:rsidRPr="00DA7042">
        <w:rPr>
          <w:rFonts w:ascii="Times New Roman" w:hAnsi="Times New Roman"/>
          <w:sz w:val="22"/>
          <w:szCs w:val="22"/>
        </w:rPr>
        <w:t xml:space="preserve"> do Regimento Interno nos termos regimentais.</w:t>
      </w:r>
    </w:p>
    <w:p w:rsidR="002E09CC" w:rsidRPr="00DA7042" w:rsidRDefault="0064799D" w:rsidP="002E09CC">
      <w:pPr>
        <w:spacing w:line="360" w:lineRule="auto"/>
        <w:ind w:firstLine="2268"/>
        <w:jc w:val="both"/>
        <w:rPr>
          <w:rFonts w:ascii="Times New Roman" w:hAnsi="Times New Roman"/>
          <w:sz w:val="22"/>
          <w:szCs w:val="22"/>
        </w:rPr>
      </w:pPr>
      <w:r w:rsidRPr="00DA7042">
        <w:rPr>
          <w:rFonts w:ascii="Times New Roman" w:hAnsi="Times New Roman"/>
          <w:sz w:val="22"/>
          <w:szCs w:val="22"/>
        </w:rPr>
        <w:t>Presentes na reunião os vereadores competentes da comissão acima citada, a vereadora Marli Aparecida Barbosa (Presidente) e os vereadores José Pereira da Silva (Vogal) e Euro de Andrade Lanza (Relator), além de membros da Procuradoria Geral do Legislativo e da Consultoria Jurídica, assessores de gabinetes e munícipes.</w:t>
      </w:r>
    </w:p>
    <w:p w:rsidR="00587AE0" w:rsidRPr="00DA7042" w:rsidRDefault="00587AE0" w:rsidP="002E09CC">
      <w:pPr>
        <w:spacing w:line="360" w:lineRule="auto"/>
        <w:ind w:firstLine="2268"/>
        <w:jc w:val="both"/>
        <w:rPr>
          <w:rFonts w:ascii="Times New Roman" w:hAnsi="Times New Roman"/>
          <w:sz w:val="22"/>
          <w:szCs w:val="22"/>
        </w:rPr>
      </w:pPr>
    </w:p>
    <w:p w:rsidR="004D5F47" w:rsidRPr="00DA7042" w:rsidRDefault="004D5F47" w:rsidP="00B0097A">
      <w:pPr>
        <w:spacing w:line="360" w:lineRule="auto"/>
        <w:ind w:firstLine="2268"/>
        <w:jc w:val="both"/>
        <w:rPr>
          <w:rFonts w:ascii="Times New Roman" w:hAnsi="Times New Roman"/>
          <w:sz w:val="22"/>
          <w:szCs w:val="22"/>
          <w:u w:val="single"/>
        </w:rPr>
      </w:pPr>
      <w:r w:rsidRPr="00DA7042">
        <w:rPr>
          <w:rFonts w:ascii="Times New Roman" w:hAnsi="Times New Roman"/>
          <w:sz w:val="22"/>
          <w:szCs w:val="22"/>
          <w:u w:val="single"/>
        </w:rPr>
        <w:t>Fundamentação</w:t>
      </w:r>
    </w:p>
    <w:p w:rsidR="004D5F47" w:rsidRPr="00DA7042" w:rsidRDefault="004D5F47" w:rsidP="00B0097A">
      <w:pPr>
        <w:spacing w:line="360" w:lineRule="auto"/>
        <w:ind w:firstLine="2268"/>
        <w:jc w:val="both"/>
        <w:rPr>
          <w:rFonts w:ascii="Times New Roman" w:hAnsi="Times New Roman"/>
          <w:sz w:val="22"/>
          <w:szCs w:val="22"/>
          <w:u w:val="single"/>
        </w:rPr>
      </w:pPr>
    </w:p>
    <w:p w:rsidR="00243783" w:rsidRPr="00DA7042" w:rsidRDefault="00D41050" w:rsidP="00DA7042">
      <w:pPr>
        <w:spacing w:line="360" w:lineRule="auto"/>
        <w:ind w:firstLine="2268"/>
        <w:jc w:val="both"/>
        <w:rPr>
          <w:rFonts w:ascii="Times New Roman" w:hAnsi="Times New Roman"/>
          <w:sz w:val="22"/>
          <w:szCs w:val="22"/>
        </w:rPr>
      </w:pPr>
      <w:r w:rsidRPr="00DA7042">
        <w:rPr>
          <w:rFonts w:ascii="Times New Roman" w:hAnsi="Times New Roman"/>
          <w:sz w:val="22"/>
          <w:szCs w:val="22"/>
        </w:rPr>
        <w:t>O proje</w:t>
      </w:r>
      <w:r w:rsidR="00587AE0" w:rsidRPr="00DA7042">
        <w:rPr>
          <w:rFonts w:ascii="Times New Roman" w:hAnsi="Times New Roman"/>
          <w:sz w:val="22"/>
          <w:szCs w:val="22"/>
        </w:rPr>
        <w:t>to</w:t>
      </w:r>
      <w:r w:rsidR="00E51B11" w:rsidRPr="00DA7042">
        <w:rPr>
          <w:rFonts w:ascii="Times New Roman" w:hAnsi="Times New Roman"/>
          <w:sz w:val="22"/>
          <w:szCs w:val="22"/>
        </w:rPr>
        <w:t xml:space="preserve"> </w:t>
      </w:r>
      <w:r w:rsidR="002E09CC" w:rsidRPr="00DA7042">
        <w:rPr>
          <w:rFonts w:ascii="Times New Roman" w:hAnsi="Times New Roman"/>
          <w:sz w:val="22"/>
          <w:szCs w:val="22"/>
        </w:rPr>
        <w:t xml:space="preserve">foi protocolado na casa em </w:t>
      </w:r>
      <w:r w:rsidR="0064799D" w:rsidRPr="00DA7042">
        <w:rPr>
          <w:rFonts w:ascii="Times New Roman" w:hAnsi="Times New Roman"/>
          <w:sz w:val="22"/>
          <w:szCs w:val="22"/>
        </w:rPr>
        <w:t>06/12/2018</w:t>
      </w:r>
      <w:r w:rsidRPr="00DA7042">
        <w:rPr>
          <w:rFonts w:ascii="Times New Roman" w:hAnsi="Times New Roman"/>
          <w:sz w:val="22"/>
          <w:szCs w:val="22"/>
        </w:rPr>
        <w:t>, assim, o tempo para análise foi exíguo.</w:t>
      </w:r>
    </w:p>
    <w:p w:rsidR="0064799D" w:rsidRPr="00DA7042" w:rsidRDefault="001B3421" w:rsidP="00DA7042">
      <w:pPr>
        <w:spacing w:line="360" w:lineRule="auto"/>
        <w:ind w:firstLine="2268"/>
        <w:jc w:val="both"/>
        <w:rPr>
          <w:rFonts w:ascii="Times New Roman" w:hAnsi="Times New Roman"/>
          <w:sz w:val="22"/>
          <w:szCs w:val="22"/>
        </w:rPr>
      </w:pPr>
      <w:r w:rsidRPr="00DA7042">
        <w:rPr>
          <w:rFonts w:ascii="Times New Roman" w:hAnsi="Times New Roman"/>
          <w:sz w:val="22"/>
          <w:szCs w:val="22"/>
        </w:rPr>
        <w:t>Assim, sendo de competência do Município legislar sobre assuntos de interesse local, conforme art. 35, II, da Lei Orgânica de Sete Lagoas, infere-se plausível tal projeto de lei e totalmente cabível por pa</w:t>
      </w:r>
      <w:r w:rsidR="009C0682" w:rsidRPr="00DA7042">
        <w:rPr>
          <w:rFonts w:ascii="Times New Roman" w:hAnsi="Times New Roman"/>
          <w:sz w:val="22"/>
          <w:szCs w:val="22"/>
        </w:rPr>
        <w:t>rte d</w:t>
      </w:r>
      <w:r w:rsidR="005D7DCE" w:rsidRPr="00DA7042">
        <w:rPr>
          <w:rFonts w:ascii="Times New Roman" w:hAnsi="Times New Roman"/>
          <w:sz w:val="22"/>
          <w:szCs w:val="22"/>
        </w:rPr>
        <w:t>a Câmara Municipal</w:t>
      </w:r>
      <w:r w:rsidR="00260A7F" w:rsidRPr="00DA7042">
        <w:rPr>
          <w:rFonts w:ascii="Times New Roman" w:hAnsi="Times New Roman"/>
          <w:sz w:val="22"/>
          <w:szCs w:val="22"/>
        </w:rPr>
        <w:t>.</w:t>
      </w:r>
    </w:p>
    <w:p w:rsidR="00AC18D3" w:rsidRPr="00DA7042" w:rsidRDefault="00AC18D3" w:rsidP="00DA7042">
      <w:pPr>
        <w:spacing w:line="360" w:lineRule="auto"/>
        <w:ind w:firstLine="2268"/>
        <w:jc w:val="both"/>
        <w:rPr>
          <w:sz w:val="22"/>
          <w:szCs w:val="22"/>
        </w:rPr>
      </w:pPr>
      <w:r w:rsidRPr="00DA7042">
        <w:rPr>
          <w:sz w:val="22"/>
          <w:szCs w:val="22"/>
        </w:rPr>
        <w:t>Nesse sentido, a</w:t>
      </w:r>
      <w:r w:rsidR="0064799D" w:rsidRPr="00DA7042">
        <w:rPr>
          <w:sz w:val="22"/>
          <w:szCs w:val="22"/>
        </w:rPr>
        <w:t xml:space="preserve"> sigla </w:t>
      </w:r>
      <w:proofErr w:type="gramStart"/>
      <w:r w:rsidR="0064799D" w:rsidRPr="00DA7042">
        <w:rPr>
          <w:sz w:val="22"/>
          <w:szCs w:val="22"/>
        </w:rPr>
        <w:t>Procon</w:t>
      </w:r>
      <w:proofErr w:type="gramEnd"/>
      <w:r w:rsidR="0064799D" w:rsidRPr="00DA7042">
        <w:rPr>
          <w:sz w:val="22"/>
          <w:szCs w:val="22"/>
        </w:rPr>
        <w:t xml:space="preserve"> surgiu da junção das sílabas iniciais da expressão “Proteção ao Consumidor” e é destinada a denominar os órgãos governamentais estaduais e municipais que, administrativamente, defendem os consumidores e as práticas justas no mercado de consumo. Cabe a eles, de forma preventiva e repressiva, combater o cometimento de irregularidades no mercado, como também promover a educação para o </w:t>
      </w:r>
      <w:r w:rsidR="0064799D" w:rsidRPr="00DA7042">
        <w:rPr>
          <w:sz w:val="22"/>
          <w:szCs w:val="22"/>
        </w:rPr>
        <w:lastRenderedPageBreak/>
        <w:t xml:space="preserve">consumo. </w:t>
      </w:r>
    </w:p>
    <w:p w:rsidR="00602194" w:rsidRPr="00DA7042" w:rsidRDefault="0064799D" w:rsidP="00DA7042">
      <w:pPr>
        <w:spacing w:line="360" w:lineRule="auto"/>
        <w:ind w:firstLine="2268"/>
        <w:jc w:val="both"/>
        <w:rPr>
          <w:sz w:val="22"/>
          <w:szCs w:val="22"/>
        </w:rPr>
      </w:pPr>
      <w:r w:rsidRPr="00DA7042">
        <w:rPr>
          <w:sz w:val="22"/>
          <w:szCs w:val="22"/>
        </w:rPr>
        <w:t xml:space="preserve">Assim, além de solucionar eventuais problemas entre consumidores e fornecedores por meio de procedimentos administrativos próprios, compete aos </w:t>
      </w:r>
      <w:proofErr w:type="spellStart"/>
      <w:r w:rsidRPr="00DA7042">
        <w:rPr>
          <w:sz w:val="22"/>
          <w:szCs w:val="22"/>
        </w:rPr>
        <w:t>Procons</w:t>
      </w:r>
      <w:proofErr w:type="spellEnd"/>
      <w:r w:rsidRPr="00DA7042">
        <w:rPr>
          <w:sz w:val="22"/>
          <w:szCs w:val="22"/>
        </w:rPr>
        <w:t xml:space="preserve"> desenvolver, para toda a população de uma localidade, atividades educativas e de orientação. A norma principal para a atuação de um </w:t>
      </w:r>
      <w:r w:rsidR="00AC18D3" w:rsidRPr="00DA7042">
        <w:rPr>
          <w:sz w:val="22"/>
          <w:szCs w:val="22"/>
        </w:rPr>
        <w:t>PROCON</w:t>
      </w:r>
      <w:r w:rsidRPr="00DA7042">
        <w:rPr>
          <w:sz w:val="22"/>
          <w:szCs w:val="22"/>
        </w:rPr>
        <w:t xml:space="preserve"> é a Lei Federal n.º 8.078/90, o Código de Defesa do Consumidor (CDC).</w:t>
      </w:r>
    </w:p>
    <w:p w:rsidR="00DA7042" w:rsidRPr="00DA7042" w:rsidRDefault="00602194" w:rsidP="00DA7042">
      <w:pPr>
        <w:spacing w:line="360" w:lineRule="auto"/>
        <w:ind w:firstLine="2268"/>
        <w:jc w:val="both"/>
        <w:rPr>
          <w:sz w:val="22"/>
          <w:szCs w:val="22"/>
        </w:rPr>
      </w:pPr>
      <w:r w:rsidRPr="00DA7042">
        <w:rPr>
          <w:sz w:val="22"/>
          <w:szCs w:val="22"/>
        </w:rPr>
        <w:t xml:space="preserve">Contudo, os </w:t>
      </w:r>
      <w:proofErr w:type="spellStart"/>
      <w:r w:rsidRPr="00DA7042">
        <w:rPr>
          <w:sz w:val="22"/>
          <w:szCs w:val="22"/>
        </w:rPr>
        <w:t>Procons</w:t>
      </w:r>
      <w:proofErr w:type="spellEnd"/>
      <w:r w:rsidRPr="00DA7042">
        <w:rPr>
          <w:sz w:val="22"/>
          <w:szCs w:val="22"/>
        </w:rPr>
        <w:t xml:space="preserve"> municipais, órgão, em regra, vinculados ao poder executivo municipal, recebem e processam reclamações ou consultas que envolvam interesses ou direitos individuais, como conserto ou troca de produtos, cobranças indevidas, descumprimento de contrato, não cumprimento de garantia, produto entregue diferente do pedido, aumento de mensalidade/prestação, deverão ser apresentadas pelo consumidor no </w:t>
      </w:r>
      <w:proofErr w:type="gramStart"/>
      <w:r w:rsidRPr="00DA7042">
        <w:rPr>
          <w:sz w:val="22"/>
          <w:szCs w:val="22"/>
        </w:rPr>
        <w:t>Procon</w:t>
      </w:r>
      <w:proofErr w:type="gramEnd"/>
      <w:r w:rsidRPr="00DA7042">
        <w:rPr>
          <w:sz w:val="22"/>
          <w:szCs w:val="22"/>
        </w:rPr>
        <w:t xml:space="preserve"> municipal de cada cidade. Além de promoverem a conciliação entre consumidores e fornecedores, os </w:t>
      </w:r>
      <w:proofErr w:type="spellStart"/>
      <w:r w:rsidRPr="00DA7042">
        <w:rPr>
          <w:sz w:val="22"/>
          <w:szCs w:val="22"/>
        </w:rPr>
        <w:t>Procons</w:t>
      </w:r>
      <w:proofErr w:type="spellEnd"/>
      <w:r w:rsidRPr="00DA7042">
        <w:rPr>
          <w:sz w:val="22"/>
          <w:szCs w:val="22"/>
        </w:rPr>
        <w:t xml:space="preserve"> municipais também podem aplicar sanções administrativas, como multa, suspensão de fornecimento de produto ou serviço, interdição de estabelecimentos, entre outras.</w:t>
      </w:r>
    </w:p>
    <w:p w:rsidR="004D5F47" w:rsidRPr="00DA7042" w:rsidRDefault="004D5F47" w:rsidP="00B0097A">
      <w:pPr>
        <w:spacing w:line="360" w:lineRule="auto"/>
        <w:ind w:firstLine="2268"/>
        <w:jc w:val="both"/>
        <w:rPr>
          <w:rFonts w:ascii="Times New Roman" w:hAnsi="Times New Roman"/>
          <w:sz w:val="22"/>
          <w:szCs w:val="22"/>
          <w:u w:val="single"/>
        </w:rPr>
      </w:pPr>
      <w:r w:rsidRPr="00DA7042">
        <w:rPr>
          <w:rFonts w:ascii="Times New Roman" w:hAnsi="Times New Roman"/>
          <w:sz w:val="22"/>
          <w:szCs w:val="22"/>
          <w:u w:val="single"/>
        </w:rPr>
        <w:t>Conclusão</w:t>
      </w:r>
    </w:p>
    <w:p w:rsidR="004D5F47" w:rsidRPr="00DA7042" w:rsidRDefault="004D5F47" w:rsidP="00B0097A">
      <w:pPr>
        <w:spacing w:line="360" w:lineRule="auto"/>
        <w:ind w:firstLine="2268"/>
        <w:jc w:val="both"/>
        <w:rPr>
          <w:rFonts w:ascii="Times New Roman" w:hAnsi="Times New Roman"/>
          <w:sz w:val="22"/>
          <w:szCs w:val="22"/>
          <w:u w:val="single"/>
        </w:rPr>
      </w:pPr>
    </w:p>
    <w:p w:rsidR="004D5F47" w:rsidRPr="00DA7042" w:rsidRDefault="004D5F47" w:rsidP="00DA7042">
      <w:pPr>
        <w:spacing w:line="360" w:lineRule="auto"/>
        <w:ind w:firstLine="2268"/>
        <w:jc w:val="both"/>
        <w:rPr>
          <w:rFonts w:ascii="Times New Roman" w:hAnsi="Times New Roman"/>
          <w:b/>
          <w:bCs/>
          <w:sz w:val="22"/>
          <w:szCs w:val="22"/>
        </w:rPr>
      </w:pPr>
      <w:r w:rsidRPr="00DA7042">
        <w:rPr>
          <w:rFonts w:ascii="Times New Roman" w:hAnsi="Times New Roman"/>
          <w:sz w:val="22"/>
          <w:szCs w:val="22"/>
        </w:rPr>
        <w:t xml:space="preserve">Em face do exposto, </w:t>
      </w:r>
      <w:r w:rsidR="009C0682" w:rsidRPr="00DA7042">
        <w:rPr>
          <w:rFonts w:ascii="Times New Roman" w:hAnsi="Times New Roman"/>
          <w:sz w:val="22"/>
          <w:szCs w:val="22"/>
        </w:rPr>
        <w:t>este relator entendeu</w:t>
      </w:r>
      <w:r w:rsidRPr="00DA7042">
        <w:rPr>
          <w:rFonts w:ascii="Times New Roman" w:hAnsi="Times New Roman"/>
          <w:sz w:val="22"/>
          <w:szCs w:val="22"/>
        </w:rPr>
        <w:t xml:space="preserve"> que no Projeto de Lei nº </w:t>
      </w:r>
      <w:r w:rsidR="00DA7042" w:rsidRPr="00DA7042">
        <w:rPr>
          <w:rFonts w:ascii="Times New Roman" w:hAnsi="Times New Roman"/>
          <w:sz w:val="22"/>
          <w:szCs w:val="22"/>
        </w:rPr>
        <w:t>413/2018</w:t>
      </w:r>
      <w:r w:rsidRPr="00DA7042">
        <w:rPr>
          <w:rFonts w:ascii="Times New Roman" w:hAnsi="Times New Roman"/>
          <w:sz w:val="22"/>
          <w:szCs w:val="22"/>
        </w:rPr>
        <w:t xml:space="preserve"> não há ilegalidades, inconstitucionalidades ou antijuridicidades; </w:t>
      </w:r>
      <w:r w:rsidR="009C0682" w:rsidRPr="00DA7042">
        <w:rPr>
          <w:rFonts w:ascii="Times New Roman" w:hAnsi="Times New Roman"/>
          <w:sz w:val="22"/>
          <w:szCs w:val="22"/>
        </w:rPr>
        <w:t>concluiu que o projeto está adequado; e, finalmente, quanto ao mérito, a proposta legislativa atende ao interesse público.</w:t>
      </w:r>
    </w:p>
    <w:p w:rsidR="00E62921" w:rsidRPr="00DA7042" w:rsidRDefault="00A66FF0" w:rsidP="00B0097A">
      <w:pPr>
        <w:spacing w:line="360" w:lineRule="auto"/>
        <w:ind w:firstLine="2268"/>
        <w:jc w:val="both"/>
        <w:rPr>
          <w:rFonts w:ascii="Times New Roman" w:hAnsi="Times New Roman"/>
          <w:sz w:val="22"/>
          <w:szCs w:val="22"/>
        </w:rPr>
      </w:pPr>
      <w:r w:rsidRPr="00DA7042">
        <w:rPr>
          <w:rFonts w:ascii="Times New Roman" w:hAnsi="Times New Roman"/>
          <w:sz w:val="22"/>
          <w:szCs w:val="22"/>
        </w:rPr>
        <w:t>Sala</w:t>
      </w:r>
      <w:r w:rsidR="00B0097A" w:rsidRPr="00DA7042">
        <w:rPr>
          <w:rFonts w:ascii="Times New Roman" w:hAnsi="Times New Roman"/>
          <w:sz w:val="22"/>
          <w:szCs w:val="22"/>
        </w:rPr>
        <w:t xml:space="preserve"> das Reuniões, </w:t>
      </w:r>
      <w:r w:rsidR="009D465F" w:rsidRPr="00DA7042">
        <w:rPr>
          <w:rFonts w:ascii="Times New Roman" w:hAnsi="Times New Roman"/>
          <w:sz w:val="22"/>
          <w:szCs w:val="22"/>
        </w:rPr>
        <w:t>16</w:t>
      </w:r>
      <w:r w:rsidR="003A1151" w:rsidRPr="00DA7042">
        <w:rPr>
          <w:rFonts w:ascii="Times New Roman" w:hAnsi="Times New Roman"/>
          <w:sz w:val="22"/>
          <w:szCs w:val="22"/>
        </w:rPr>
        <w:t xml:space="preserve"> de </w:t>
      </w:r>
      <w:r w:rsidR="009D465F" w:rsidRPr="00DA7042">
        <w:rPr>
          <w:rFonts w:ascii="Times New Roman" w:hAnsi="Times New Roman"/>
          <w:sz w:val="22"/>
          <w:szCs w:val="22"/>
        </w:rPr>
        <w:t>maio</w:t>
      </w:r>
      <w:r w:rsidR="008F6AFC" w:rsidRPr="00DA7042">
        <w:rPr>
          <w:rFonts w:ascii="Times New Roman" w:hAnsi="Times New Roman"/>
          <w:sz w:val="22"/>
          <w:szCs w:val="22"/>
        </w:rPr>
        <w:t xml:space="preserve"> de 2019</w:t>
      </w:r>
      <w:r w:rsidR="00E62921" w:rsidRPr="00DA7042">
        <w:rPr>
          <w:rFonts w:ascii="Times New Roman" w:hAnsi="Times New Roman"/>
          <w:sz w:val="22"/>
          <w:szCs w:val="22"/>
        </w:rPr>
        <w:t>.</w:t>
      </w:r>
    </w:p>
    <w:p w:rsidR="00DA7042" w:rsidRPr="00DA7042" w:rsidRDefault="00DA7042" w:rsidP="00DA7042">
      <w:pPr>
        <w:spacing w:line="360" w:lineRule="auto"/>
        <w:jc w:val="both"/>
        <w:rPr>
          <w:rFonts w:ascii="Times New Roman" w:hAnsi="Times New Roman"/>
          <w:sz w:val="22"/>
          <w:szCs w:val="22"/>
        </w:rPr>
      </w:pPr>
      <w:bookmarkStart w:id="0" w:name="_GoBack"/>
      <w:bookmarkEnd w:id="0"/>
    </w:p>
    <w:p w:rsidR="00B0097A" w:rsidRPr="00DA7042" w:rsidRDefault="00B0097A" w:rsidP="00B0097A">
      <w:pPr>
        <w:spacing w:line="360" w:lineRule="auto"/>
        <w:ind w:left="2268"/>
        <w:jc w:val="both"/>
        <w:rPr>
          <w:rFonts w:ascii="Times New Roman" w:hAnsi="Times New Roman"/>
          <w:sz w:val="22"/>
          <w:szCs w:val="22"/>
        </w:rPr>
      </w:pPr>
      <w:r w:rsidRPr="00DA7042">
        <w:rPr>
          <w:rFonts w:ascii="Times New Roman" w:hAnsi="Times New Roman"/>
          <w:sz w:val="22"/>
          <w:szCs w:val="22"/>
        </w:rPr>
        <w:t>Euro de Andrade Lanza</w:t>
      </w:r>
    </w:p>
    <w:p w:rsidR="00B0097A" w:rsidRPr="00DA7042" w:rsidRDefault="00B0097A" w:rsidP="00B0097A">
      <w:pPr>
        <w:spacing w:line="360" w:lineRule="auto"/>
        <w:ind w:left="2268"/>
        <w:jc w:val="both"/>
        <w:rPr>
          <w:rFonts w:ascii="Times New Roman" w:hAnsi="Times New Roman"/>
          <w:sz w:val="22"/>
          <w:szCs w:val="22"/>
        </w:rPr>
      </w:pPr>
      <w:r w:rsidRPr="00DA7042">
        <w:rPr>
          <w:rFonts w:ascii="Times New Roman" w:hAnsi="Times New Roman"/>
          <w:sz w:val="22"/>
          <w:szCs w:val="22"/>
        </w:rPr>
        <w:t>Relator</w:t>
      </w:r>
    </w:p>
    <w:p w:rsidR="00B0097A" w:rsidRPr="00DA7042" w:rsidRDefault="00B0097A" w:rsidP="00B0097A">
      <w:pPr>
        <w:spacing w:line="360" w:lineRule="auto"/>
        <w:ind w:left="2268"/>
        <w:jc w:val="both"/>
        <w:rPr>
          <w:rFonts w:ascii="Times New Roman" w:hAnsi="Times New Roman"/>
          <w:sz w:val="22"/>
          <w:szCs w:val="22"/>
        </w:rPr>
      </w:pPr>
    </w:p>
    <w:p w:rsidR="00B0097A" w:rsidRPr="00DA7042" w:rsidRDefault="00B0097A" w:rsidP="00DA7042">
      <w:pPr>
        <w:spacing w:line="360" w:lineRule="auto"/>
        <w:ind w:left="2268"/>
        <w:jc w:val="both"/>
        <w:rPr>
          <w:rFonts w:ascii="Times New Roman" w:hAnsi="Times New Roman"/>
          <w:sz w:val="22"/>
          <w:szCs w:val="22"/>
        </w:rPr>
      </w:pPr>
      <w:r w:rsidRPr="00DA7042">
        <w:rPr>
          <w:rFonts w:ascii="Times New Roman" w:hAnsi="Times New Roman"/>
          <w:sz w:val="22"/>
          <w:szCs w:val="22"/>
        </w:rPr>
        <w:t>V O T O S</w:t>
      </w:r>
    </w:p>
    <w:p w:rsidR="00B0097A" w:rsidRPr="00DA7042" w:rsidRDefault="00B0097A" w:rsidP="00B0097A">
      <w:pPr>
        <w:spacing w:line="360" w:lineRule="auto"/>
        <w:ind w:left="2268"/>
        <w:jc w:val="both"/>
        <w:rPr>
          <w:rFonts w:ascii="Times New Roman" w:hAnsi="Times New Roman"/>
          <w:sz w:val="22"/>
          <w:szCs w:val="22"/>
        </w:rPr>
      </w:pPr>
      <w:r w:rsidRPr="00DA7042">
        <w:rPr>
          <w:rFonts w:ascii="Times New Roman" w:hAnsi="Times New Roman"/>
          <w:sz w:val="22"/>
          <w:szCs w:val="22"/>
        </w:rPr>
        <w:t>De acordo com o relator.</w:t>
      </w:r>
    </w:p>
    <w:p w:rsidR="00DA7042" w:rsidRDefault="00DA7042" w:rsidP="009D465F">
      <w:pPr>
        <w:spacing w:line="360" w:lineRule="auto"/>
        <w:jc w:val="both"/>
        <w:rPr>
          <w:rFonts w:ascii="Times New Roman" w:hAnsi="Times New Roman"/>
          <w:sz w:val="22"/>
          <w:szCs w:val="22"/>
        </w:rPr>
      </w:pPr>
      <w:r>
        <w:rPr>
          <w:rFonts w:ascii="Times New Roman" w:hAnsi="Times New Roman"/>
          <w:sz w:val="22"/>
          <w:szCs w:val="22"/>
        </w:rPr>
        <w:t xml:space="preserve">                              </w:t>
      </w:r>
    </w:p>
    <w:p w:rsidR="00DA7042" w:rsidRDefault="00DA7042" w:rsidP="009D465F">
      <w:pPr>
        <w:spacing w:line="360" w:lineRule="auto"/>
        <w:jc w:val="both"/>
        <w:rPr>
          <w:rFonts w:ascii="Times New Roman" w:hAnsi="Times New Roman"/>
          <w:sz w:val="22"/>
          <w:szCs w:val="22"/>
        </w:rPr>
      </w:pPr>
      <w:r>
        <w:rPr>
          <w:rFonts w:ascii="Times New Roman" w:hAnsi="Times New Roman"/>
          <w:sz w:val="22"/>
          <w:szCs w:val="22"/>
        </w:rPr>
        <w:t xml:space="preserve">                                      </w:t>
      </w:r>
      <w:r w:rsidRPr="00DA7042">
        <w:rPr>
          <w:rFonts w:ascii="Times New Roman" w:hAnsi="Times New Roman"/>
          <w:sz w:val="22"/>
          <w:szCs w:val="22"/>
        </w:rPr>
        <w:t>Marli</w:t>
      </w:r>
      <w:r>
        <w:rPr>
          <w:rFonts w:ascii="Times New Roman" w:hAnsi="Times New Roman"/>
          <w:sz w:val="22"/>
          <w:szCs w:val="22"/>
        </w:rPr>
        <w:t xml:space="preserve"> Aparecida Barbosa</w:t>
      </w:r>
    </w:p>
    <w:p w:rsidR="00B0097A" w:rsidRPr="00DA7042" w:rsidRDefault="00DA7042" w:rsidP="009D465F">
      <w:pPr>
        <w:spacing w:line="360" w:lineRule="auto"/>
        <w:jc w:val="both"/>
        <w:rPr>
          <w:rFonts w:ascii="Times New Roman" w:hAnsi="Times New Roman"/>
          <w:sz w:val="22"/>
          <w:szCs w:val="22"/>
        </w:rPr>
      </w:pPr>
      <w:r>
        <w:rPr>
          <w:rFonts w:ascii="Times New Roman" w:hAnsi="Times New Roman"/>
          <w:sz w:val="22"/>
          <w:szCs w:val="22"/>
        </w:rPr>
        <w:t xml:space="preserve">                                      Presidente</w:t>
      </w:r>
    </w:p>
    <w:p w:rsidR="00DA7042" w:rsidRDefault="00DA7042" w:rsidP="00DA7042">
      <w:pPr>
        <w:spacing w:line="360" w:lineRule="auto"/>
        <w:jc w:val="both"/>
        <w:rPr>
          <w:rFonts w:ascii="Times New Roman" w:hAnsi="Times New Roman"/>
          <w:sz w:val="22"/>
          <w:szCs w:val="22"/>
        </w:rPr>
      </w:pPr>
    </w:p>
    <w:p w:rsidR="00DA7042" w:rsidRPr="00DA7042" w:rsidRDefault="00DA7042" w:rsidP="00DA7042">
      <w:pPr>
        <w:spacing w:line="360" w:lineRule="auto"/>
        <w:jc w:val="both"/>
        <w:rPr>
          <w:rFonts w:ascii="Times New Roman" w:hAnsi="Times New Roman"/>
          <w:sz w:val="22"/>
          <w:szCs w:val="22"/>
        </w:rPr>
      </w:pPr>
    </w:p>
    <w:p w:rsidR="00B0097A" w:rsidRPr="00DA7042" w:rsidRDefault="003E6380" w:rsidP="00B0097A">
      <w:pPr>
        <w:spacing w:line="360" w:lineRule="auto"/>
        <w:ind w:left="2268"/>
        <w:jc w:val="both"/>
        <w:rPr>
          <w:rFonts w:ascii="Times New Roman" w:hAnsi="Times New Roman"/>
          <w:sz w:val="22"/>
          <w:szCs w:val="22"/>
        </w:rPr>
      </w:pPr>
      <w:r w:rsidRPr="00DA7042">
        <w:rPr>
          <w:rFonts w:ascii="Times New Roman" w:hAnsi="Times New Roman"/>
          <w:sz w:val="22"/>
          <w:szCs w:val="22"/>
        </w:rPr>
        <w:t>José Pereira da Silva</w:t>
      </w:r>
    </w:p>
    <w:p w:rsidR="00576CDB" w:rsidRPr="00DA7042" w:rsidRDefault="00B0097A" w:rsidP="00DA7042">
      <w:pPr>
        <w:spacing w:line="360" w:lineRule="auto"/>
        <w:ind w:left="2268"/>
        <w:jc w:val="both"/>
        <w:rPr>
          <w:rFonts w:ascii="Times New Roman" w:hAnsi="Times New Roman"/>
          <w:sz w:val="22"/>
          <w:szCs w:val="22"/>
        </w:rPr>
      </w:pPr>
      <w:r w:rsidRPr="00DA7042">
        <w:rPr>
          <w:rFonts w:ascii="Times New Roman" w:hAnsi="Times New Roman"/>
          <w:sz w:val="22"/>
          <w:szCs w:val="22"/>
        </w:rPr>
        <w:t>Vogal</w:t>
      </w:r>
    </w:p>
    <w:sectPr w:rsidR="00576CDB" w:rsidRPr="00DA704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86" w:rsidRDefault="00816A86" w:rsidP="00963EEE">
      <w:r>
        <w:separator/>
      </w:r>
    </w:p>
  </w:endnote>
  <w:endnote w:type="continuationSeparator" w:id="0">
    <w:p w:rsidR="00816A86" w:rsidRDefault="00816A86"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86" w:rsidRDefault="00816A86" w:rsidP="00963EEE">
      <w:r>
        <w:separator/>
      </w:r>
    </w:p>
  </w:footnote>
  <w:footnote w:type="continuationSeparator" w:id="0">
    <w:p w:rsidR="00816A86" w:rsidRDefault="00816A86" w:rsidP="009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64" w:rsidRPr="00E05C64" w:rsidRDefault="00E05C64" w:rsidP="002E09CC">
    <w:pPr>
      <w:tabs>
        <w:tab w:val="center" w:pos="4252"/>
        <w:tab w:val="right" w:pos="8504"/>
      </w:tabs>
      <w:jc w:val="center"/>
      <w:rPr>
        <w:rFonts w:ascii="Times New Roman" w:eastAsia="Times New Roman" w:hAnsi="Times New Roman"/>
        <w:b/>
        <w:kern w:val="0"/>
        <w:sz w:val="32"/>
        <w:lang w:eastAsia="ar-SA"/>
      </w:rPr>
    </w:pPr>
    <w:r>
      <w:rPr>
        <w:b/>
        <w:noProof/>
        <w:sz w:val="32"/>
      </w:rPr>
      <w:drawing>
        <wp:anchor distT="0" distB="0" distL="114300" distR="114300" simplePos="0" relativeHeight="251660288" behindDoc="1" locked="0" layoutInCell="1" allowOverlap="1" wp14:anchorId="4E365D6B" wp14:editId="16AABDEC">
          <wp:simplePos x="0" y="0"/>
          <wp:positionH relativeFrom="column">
            <wp:posOffset>5396865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rPr>
      <w:drawing>
        <wp:anchor distT="0" distB="0" distL="114300" distR="114300" simplePos="0" relativeHeight="251659264" behindDoc="1" locked="0" layoutInCell="1" allowOverlap="1" wp14:anchorId="385FA385" wp14:editId="4810F93C">
          <wp:simplePos x="0" y="0"/>
          <wp:positionH relativeFrom="margin">
            <wp:posOffset>-809625</wp:posOffset>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5C64">
      <w:rPr>
        <w:rFonts w:ascii="Times New Roman" w:eastAsia="Times New Roman" w:hAnsi="Times New Roman"/>
        <w:b/>
        <w:kern w:val="0"/>
        <w:sz w:val="32"/>
        <w:lang w:eastAsia="ar-SA"/>
      </w:rPr>
      <w:t>Câmara Municipal de Sete Lagoas</w:t>
    </w:r>
  </w:p>
  <w:p w:rsidR="00E05C64" w:rsidRPr="00E05C64" w:rsidRDefault="00E05C64" w:rsidP="002E09CC">
    <w:pPr>
      <w:widowControl/>
      <w:tabs>
        <w:tab w:val="center" w:pos="4252"/>
        <w:tab w:val="right" w:pos="8504"/>
      </w:tabs>
      <w:suppressAutoHyphens w:val="0"/>
      <w:jc w:val="center"/>
      <w:rPr>
        <w:rFonts w:ascii="Times New Roman" w:eastAsia="Times New Roman" w:hAnsi="Times New Roman"/>
        <w:kern w:val="0"/>
        <w:sz w:val="20"/>
      </w:rPr>
    </w:pPr>
    <w:r w:rsidRPr="00E05C64">
      <w:rPr>
        <w:rFonts w:ascii="Times New Roman" w:eastAsia="Times New Roman" w:hAnsi="Times New Roman"/>
        <w:kern w:val="0"/>
        <w:sz w:val="20"/>
      </w:rPr>
      <w:t>ESTADO DE MINAS GERAIS</w:t>
    </w:r>
  </w:p>
  <w:p w:rsidR="00E05C64" w:rsidRPr="00E05C64" w:rsidRDefault="00E05C64" w:rsidP="002E09CC">
    <w:pPr>
      <w:widowControl/>
      <w:tabs>
        <w:tab w:val="center" w:pos="4252"/>
        <w:tab w:val="right" w:pos="8504"/>
      </w:tabs>
      <w:suppressAutoHyphens w:val="0"/>
      <w:jc w:val="center"/>
      <w:rPr>
        <w:rFonts w:ascii="Times New Roman" w:eastAsia="Times New Roman" w:hAnsi="Times New Roman"/>
        <w:kern w:val="0"/>
        <w:sz w:val="18"/>
      </w:rPr>
    </w:pPr>
    <w:r w:rsidRPr="00E05C64">
      <w:rPr>
        <w:rFonts w:ascii="Times New Roman" w:eastAsia="Times New Roman" w:hAnsi="Times New Roman"/>
        <w:kern w:val="0"/>
        <w:sz w:val="18"/>
      </w:rPr>
      <w:t xml:space="preserve">Rua Domingos </w:t>
    </w:r>
    <w:proofErr w:type="spellStart"/>
    <w:proofErr w:type="gramStart"/>
    <w:r w:rsidRPr="00E05C64">
      <w:rPr>
        <w:rFonts w:ascii="Times New Roman" w:eastAsia="Times New Roman" w:hAnsi="Times New Roman"/>
        <w:kern w:val="0"/>
        <w:sz w:val="18"/>
      </w:rPr>
      <w:t>L’Ouverture</w:t>
    </w:r>
    <w:proofErr w:type="spellEnd"/>
    <w:proofErr w:type="gramEnd"/>
    <w:r w:rsidRPr="00E05C64">
      <w:rPr>
        <w:rFonts w:ascii="Times New Roman" w:eastAsia="Times New Roman" w:hAnsi="Times New Roman"/>
        <w:kern w:val="0"/>
        <w:sz w:val="18"/>
      </w:rPr>
      <w:t>, nº 335 – São Geraldo – Sete Lagoas / MG - CEP: 35700-177</w:t>
    </w:r>
  </w:p>
  <w:p w:rsidR="00E05C64" w:rsidRPr="00E05C64" w:rsidRDefault="00E05C64" w:rsidP="002E09CC">
    <w:pPr>
      <w:widowControl/>
      <w:tabs>
        <w:tab w:val="center" w:pos="4252"/>
        <w:tab w:val="right" w:pos="8504"/>
      </w:tabs>
      <w:suppressAutoHyphens w:val="0"/>
      <w:jc w:val="center"/>
      <w:rPr>
        <w:rFonts w:ascii="Times New Roman" w:eastAsia="Times New Roman" w:hAnsi="Times New Roman"/>
        <w:kern w:val="0"/>
        <w:sz w:val="18"/>
      </w:rPr>
    </w:pPr>
    <w:r w:rsidRPr="00E05C64">
      <w:rPr>
        <w:rFonts w:ascii="Times New Roman" w:eastAsia="Times New Roman" w:hAnsi="Times New Roman"/>
        <w:kern w:val="0"/>
        <w:sz w:val="18"/>
      </w:rPr>
      <w:t>Fone: (31)3779-6300 | E-mail: atendimento@camarasete.mg.gov.br</w:t>
    </w:r>
  </w:p>
  <w:p w:rsidR="00963EEE" w:rsidRDefault="00963EEE" w:rsidP="002E09C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C7814"/>
    <w:rsid w:val="00112809"/>
    <w:rsid w:val="0014511A"/>
    <w:rsid w:val="00145F6F"/>
    <w:rsid w:val="001B3421"/>
    <w:rsid w:val="00212225"/>
    <w:rsid w:val="002174EE"/>
    <w:rsid w:val="00225698"/>
    <w:rsid w:val="00243783"/>
    <w:rsid w:val="002534D1"/>
    <w:rsid w:val="00260A7F"/>
    <w:rsid w:val="002774F4"/>
    <w:rsid w:val="002B45C0"/>
    <w:rsid w:val="002E09CC"/>
    <w:rsid w:val="003A1151"/>
    <w:rsid w:val="003E6380"/>
    <w:rsid w:val="004208BB"/>
    <w:rsid w:val="004A3768"/>
    <w:rsid w:val="004A5AA6"/>
    <w:rsid w:val="004D5F47"/>
    <w:rsid w:val="00547358"/>
    <w:rsid w:val="00576CDB"/>
    <w:rsid w:val="00587AE0"/>
    <w:rsid w:val="005A0D89"/>
    <w:rsid w:val="005B69E8"/>
    <w:rsid w:val="005D7DCE"/>
    <w:rsid w:val="00602194"/>
    <w:rsid w:val="006105CC"/>
    <w:rsid w:val="0064799D"/>
    <w:rsid w:val="006714AA"/>
    <w:rsid w:val="00682A5F"/>
    <w:rsid w:val="0068624D"/>
    <w:rsid w:val="006B5DAF"/>
    <w:rsid w:val="00703745"/>
    <w:rsid w:val="007218C8"/>
    <w:rsid w:val="007274D8"/>
    <w:rsid w:val="007313D8"/>
    <w:rsid w:val="00750DD3"/>
    <w:rsid w:val="00793D81"/>
    <w:rsid w:val="007C5755"/>
    <w:rsid w:val="00816A86"/>
    <w:rsid w:val="008359B0"/>
    <w:rsid w:val="00837A83"/>
    <w:rsid w:val="00852128"/>
    <w:rsid w:val="00862A1F"/>
    <w:rsid w:val="0088607C"/>
    <w:rsid w:val="008A4299"/>
    <w:rsid w:val="008E4B91"/>
    <w:rsid w:val="008F6AFC"/>
    <w:rsid w:val="009523A8"/>
    <w:rsid w:val="00963EEE"/>
    <w:rsid w:val="0097039B"/>
    <w:rsid w:val="009C0682"/>
    <w:rsid w:val="009D1371"/>
    <w:rsid w:val="009D465F"/>
    <w:rsid w:val="00A14A57"/>
    <w:rsid w:val="00A47624"/>
    <w:rsid w:val="00A66FF0"/>
    <w:rsid w:val="00AA3BFF"/>
    <w:rsid w:val="00AC18D3"/>
    <w:rsid w:val="00AC44C6"/>
    <w:rsid w:val="00AE1AE4"/>
    <w:rsid w:val="00B0097A"/>
    <w:rsid w:val="00B01DCB"/>
    <w:rsid w:val="00B25E2E"/>
    <w:rsid w:val="00C25CDA"/>
    <w:rsid w:val="00C66653"/>
    <w:rsid w:val="00D11003"/>
    <w:rsid w:val="00D13112"/>
    <w:rsid w:val="00D41050"/>
    <w:rsid w:val="00D93351"/>
    <w:rsid w:val="00DA7042"/>
    <w:rsid w:val="00DC2C0F"/>
    <w:rsid w:val="00E05C64"/>
    <w:rsid w:val="00E51B11"/>
    <w:rsid w:val="00E62921"/>
    <w:rsid w:val="00F93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47"/>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47"/>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1639">
      <w:bodyDiv w:val="1"/>
      <w:marLeft w:val="0"/>
      <w:marRight w:val="0"/>
      <w:marTop w:val="0"/>
      <w:marBottom w:val="0"/>
      <w:divBdr>
        <w:top w:val="none" w:sz="0" w:space="0" w:color="auto"/>
        <w:left w:val="none" w:sz="0" w:space="0" w:color="auto"/>
        <w:bottom w:val="none" w:sz="0" w:space="0" w:color="auto"/>
        <w:right w:val="none" w:sz="0" w:space="0" w:color="auto"/>
      </w:divBdr>
    </w:div>
    <w:div w:id="18188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2020-06-29T17:39:00Z</cp:lastPrinted>
  <dcterms:created xsi:type="dcterms:W3CDTF">2019-07-05T13:29:00Z</dcterms:created>
  <dcterms:modified xsi:type="dcterms:W3CDTF">2020-06-29T17:39:00Z</dcterms:modified>
</cp:coreProperties>
</file>