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B592D" w:rsidRDefault="00DB592D" w:rsidP="00221230">
      <w:pPr>
        <w:pStyle w:val="Corpodetexto31"/>
        <w:rPr>
          <w:rFonts w:ascii="Times New Roman" w:eastAsia="Times New Roman" w:hAnsi="Times New Roman"/>
          <w:b/>
          <w:bCs/>
          <w:sz w:val="28"/>
          <w:szCs w:val="28"/>
        </w:rPr>
      </w:pPr>
    </w:p>
    <w:p w:rsidR="00221230" w:rsidRDefault="00221230" w:rsidP="00221230">
      <w:pPr>
        <w:pStyle w:val="Corpodetexto31"/>
        <w:rPr>
          <w:rFonts w:ascii="Times New Roman" w:eastAsia="Times New Roman" w:hAnsi="Times New Roman"/>
          <w:b/>
          <w:bCs/>
          <w:sz w:val="28"/>
          <w:szCs w:val="28"/>
        </w:rPr>
      </w:pPr>
      <w:r>
        <w:rPr>
          <w:rFonts w:ascii="Times New Roman" w:eastAsia="Times New Roman" w:hAnsi="Times New Roman"/>
          <w:b/>
          <w:bCs/>
          <w:sz w:val="28"/>
          <w:szCs w:val="28"/>
        </w:rPr>
        <w:t>PARECER REGIMENTAL</w:t>
      </w:r>
    </w:p>
    <w:p w:rsidR="00221230" w:rsidRDefault="00221230" w:rsidP="00221230">
      <w:pPr>
        <w:pStyle w:val="Corpodetexto31"/>
        <w:rPr>
          <w:rFonts w:ascii="Times New Roman" w:eastAsia="Times New Roman" w:hAnsi="Times New Roman"/>
          <w:b/>
          <w:sz w:val="28"/>
          <w:szCs w:val="28"/>
        </w:rPr>
      </w:pPr>
      <w:r>
        <w:rPr>
          <w:rFonts w:ascii="Times New Roman" w:eastAsia="Times New Roman" w:hAnsi="Times New Roman"/>
          <w:b/>
          <w:sz w:val="28"/>
          <w:szCs w:val="28"/>
        </w:rPr>
        <w:t>COMISSÃO DE LEGISLAÇÃO E JUSTIÇA</w:t>
      </w:r>
    </w:p>
    <w:p w:rsidR="00221230" w:rsidRDefault="00221230" w:rsidP="00221230">
      <w:pPr>
        <w:pStyle w:val="Corpodetexto31"/>
      </w:pPr>
      <w:r>
        <w:rPr>
          <w:rFonts w:ascii="Times New Roman" w:eastAsia="Times New Roman" w:hAnsi="Times New Roman"/>
          <w:b/>
          <w:sz w:val="28"/>
          <w:szCs w:val="28"/>
        </w:rPr>
        <w:t>MATÉRIA:</w:t>
      </w:r>
      <w:r w:rsidR="00087ABA">
        <w:rPr>
          <w:rFonts w:ascii="Times New Roman" w:eastAsia="Times New Roman" w:hAnsi="Times New Roman"/>
          <w:sz w:val="28"/>
          <w:szCs w:val="28"/>
        </w:rPr>
        <w:t xml:space="preserve"> Anteprojeto de Lei nº 809</w:t>
      </w:r>
      <w:r>
        <w:rPr>
          <w:rFonts w:ascii="Times New Roman" w:eastAsia="Times New Roman" w:hAnsi="Times New Roman"/>
          <w:sz w:val="28"/>
          <w:szCs w:val="28"/>
        </w:rPr>
        <w:t xml:space="preserve">/2018 - Dispõe sobre </w:t>
      </w:r>
      <w:r w:rsidR="00087ABA">
        <w:rPr>
          <w:rFonts w:ascii="Times New Roman" w:eastAsia="Times New Roman" w:hAnsi="Times New Roman"/>
          <w:sz w:val="28"/>
          <w:szCs w:val="28"/>
        </w:rPr>
        <w:t>normas de prevenção de acidentes a serem cumpridas pelos condôminos e/ou administradores nos elevadores dos edifícios públicos da cidade de Sete Lagoas.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</w:p>
    <w:p w:rsidR="00221230" w:rsidRDefault="00221230" w:rsidP="00221230">
      <w:pPr>
        <w:pStyle w:val="Corpodetexto31"/>
        <w:pBdr>
          <w:bottom w:val="single" w:sz="12" w:space="1" w:color="000000"/>
        </w:pBdr>
      </w:pPr>
      <w:r>
        <w:rPr>
          <w:rFonts w:ascii="Times New Roman" w:eastAsia="Times New Roman" w:hAnsi="Times New Roman"/>
          <w:b/>
          <w:sz w:val="28"/>
          <w:szCs w:val="28"/>
        </w:rPr>
        <w:t>AUTORIA:</w:t>
      </w:r>
      <w:r>
        <w:rPr>
          <w:rFonts w:ascii="Times New Roman" w:eastAsia="Times New Roman" w:hAnsi="Times New Roman"/>
          <w:sz w:val="28"/>
          <w:szCs w:val="28"/>
        </w:rPr>
        <w:t xml:space="preserve"> Vereador Rodrigo Braga da Rocha</w:t>
      </w:r>
    </w:p>
    <w:p w:rsidR="00221230" w:rsidRDefault="00221230" w:rsidP="00221230">
      <w:pPr>
        <w:pStyle w:val="Corpodetexto31"/>
        <w:rPr>
          <w:rFonts w:ascii="Times New Roman" w:eastAsia="Times New Roman" w:hAnsi="Times New Roman"/>
          <w:sz w:val="28"/>
          <w:szCs w:val="28"/>
        </w:rPr>
      </w:pPr>
    </w:p>
    <w:p w:rsidR="00221230" w:rsidRDefault="00221230" w:rsidP="00221230">
      <w:pPr>
        <w:pStyle w:val="Corpodetexto31"/>
        <w:tabs>
          <w:tab w:val="left" w:pos="2410"/>
        </w:tabs>
        <w:ind w:firstLine="2268"/>
        <w:rPr>
          <w:rFonts w:ascii="Times New Roman" w:eastAsia="Times New Roman" w:hAnsi="Times New Roman"/>
          <w:b/>
          <w:bCs/>
          <w:sz w:val="28"/>
          <w:szCs w:val="28"/>
          <w:u w:val="single"/>
        </w:rPr>
      </w:pPr>
    </w:p>
    <w:p w:rsidR="00221230" w:rsidRDefault="00221230" w:rsidP="00221230">
      <w:pPr>
        <w:pStyle w:val="Corpodetexto31"/>
        <w:tabs>
          <w:tab w:val="left" w:pos="2410"/>
        </w:tabs>
        <w:ind w:firstLine="2268"/>
        <w:rPr>
          <w:rFonts w:ascii="Times New Roman" w:eastAsia="Times New Roman" w:hAnsi="Times New Roman"/>
          <w:b/>
          <w:bCs/>
          <w:sz w:val="28"/>
          <w:szCs w:val="28"/>
          <w:u w:val="single"/>
        </w:rPr>
      </w:pPr>
      <w:r>
        <w:rPr>
          <w:rFonts w:ascii="Times New Roman" w:eastAsia="Times New Roman" w:hAnsi="Times New Roman"/>
          <w:b/>
          <w:bCs/>
          <w:sz w:val="28"/>
          <w:szCs w:val="28"/>
          <w:u w:val="single"/>
        </w:rPr>
        <w:t>Relatório</w:t>
      </w:r>
    </w:p>
    <w:p w:rsidR="00221230" w:rsidRDefault="00221230" w:rsidP="00221230">
      <w:pPr>
        <w:pStyle w:val="Corpodetexto31"/>
        <w:tabs>
          <w:tab w:val="left" w:pos="2410"/>
        </w:tabs>
        <w:ind w:firstLine="2268"/>
        <w:jc w:val="center"/>
        <w:rPr>
          <w:rFonts w:ascii="Times New Roman" w:eastAsia="Times New Roman" w:hAnsi="Times New Roman"/>
          <w:b/>
          <w:bCs/>
          <w:sz w:val="28"/>
          <w:szCs w:val="28"/>
        </w:rPr>
      </w:pPr>
    </w:p>
    <w:p w:rsidR="00087ABA" w:rsidRDefault="00221230" w:rsidP="00087ABA">
      <w:pPr>
        <w:pStyle w:val="Corpodetexto31"/>
      </w:pPr>
      <w:r>
        <w:rPr>
          <w:rFonts w:ascii="Times New Roman" w:eastAsia="Times New Roman" w:hAnsi="Times New Roman"/>
          <w:sz w:val="28"/>
          <w:szCs w:val="28"/>
        </w:rPr>
        <w:t xml:space="preserve">                                     A proposição acima referenciada, cuja autoria é de membro desta edilidade, visa sugerir ao Poder Executivo a criação de Lei que disponha sobre </w:t>
      </w:r>
      <w:r w:rsidR="00087ABA">
        <w:rPr>
          <w:rFonts w:ascii="Times New Roman" w:eastAsia="Times New Roman" w:hAnsi="Times New Roman"/>
          <w:sz w:val="28"/>
          <w:szCs w:val="28"/>
        </w:rPr>
        <w:t xml:space="preserve">normas de prevenção de acidentes a serem cumpridas pelos condôminos e/ou administradores nos elevadores dos edifícios públicos </w:t>
      </w:r>
      <w:r w:rsidR="00087ABA">
        <w:rPr>
          <w:rFonts w:ascii="Times New Roman" w:eastAsia="Times New Roman" w:hAnsi="Times New Roman"/>
          <w:sz w:val="28"/>
          <w:szCs w:val="28"/>
        </w:rPr>
        <w:t>desta cidade.</w:t>
      </w:r>
      <w:r w:rsidR="00087ABA">
        <w:rPr>
          <w:rFonts w:ascii="Times New Roman" w:eastAsia="Times New Roman" w:hAnsi="Times New Roman"/>
          <w:sz w:val="28"/>
          <w:szCs w:val="28"/>
        </w:rPr>
        <w:t xml:space="preserve"> </w:t>
      </w:r>
    </w:p>
    <w:p w:rsidR="00221230" w:rsidRDefault="00221230" w:rsidP="00087ABA">
      <w:pPr>
        <w:pStyle w:val="Corpodetexto31"/>
        <w:rPr>
          <w:rFonts w:ascii="Times New Roman" w:eastAsia="Times New Roman" w:hAnsi="Times New Roman"/>
          <w:sz w:val="28"/>
          <w:szCs w:val="28"/>
        </w:rPr>
      </w:pPr>
    </w:p>
    <w:p w:rsidR="00221230" w:rsidRDefault="00221230" w:rsidP="00221230">
      <w:pPr>
        <w:tabs>
          <w:tab w:val="left" w:pos="2410"/>
        </w:tabs>
        <w:ind w:firstLine="226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O anteprojeto de lei foi distribuído a esta Comissão de Legislação e Justiça para receber parecer quanto aos aspectos de sua juridicidade, constitucionalidade e legalidade, nos termos regimentais.</w:t>
      </w:r>
    </w:p>
    <w:p w:rsidR="00221230" w:rsidRDefault="00221230" w:rsidP="00221230">
      <w:pPr>
        <w:tabs>
          <w:tab w:val="left" w:pos="2410"/>
          <w:tab w:val="left" w:pos="5580"/>
        </w:tabs>
        <w:ind w:firstLine="226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Presentes à reunião o Vereador Fabrício Augusto Carvalho do Nascimento (presidente), o Vereador José Pereira da Silva (vogal), e o vereador Euro de Andrade Lanza (relator), além dos representantes da Procuradoria desta Casa.  </w:t>
      </w:r>
    </w:p>
    <w:p w:rsidR="00221230" w:rsidRDefault="00221230" w:rsidP="00221230">
      <w:pPr>
        <w:pStyle w:val="Corpodetexto31"/>
        <w:tabs>
          <w:tab w:val="left" w:pos="720"/>
          <w:tab w:val="left" w:pos="2410"/>
        </w:tabs>
        <w:rPr>
          <w:rFonts w:ascii="Times New Roman" w:eastAsia="Times New Roman" w:hAnsi="Times New Roman"/>
          <w:b/>
          <w:bCs/>
          <w:sz w:val="28"/>
          <w:szCs w:val="28"/>
          <w:u w:val="single"/>
        </w:rPr>
      </w:pPr>
    </w:p>
    <w:p w:rsidR="00221230" w:rsidRDefault="00221230" w:rsidP="00221230">
      <w:pPr>
        <w:pStyle w:val="Corpodetexto31"/>
        <w:tabs>
          <w:tab w:val="left" w:pos="720"/>
          <w:tab w:val="left" w:pos="2410"/>
        </w:tabs>
        <w:ind w:firstLine="2268"/>
        <w:rPr>
          <w:rFonts w:ascii="Times New Roman" w:eastAsia="Times New Roman" w:hAnsi="Times New Roman"/>
          <w:b/>
          <w:bCs/>
          <w:sz w:val="28"/>
          <w:szCs w:val="28"/>
          <w:u w:val="single"/>
        </w:rPr>
      </w:pPr>
      <w:r>
        <w:rPr>
          <w:rFonts w:ascii="Times New Roman" w:eastAsia="Times New Roman" w:hAnsi="Times New Roman"/>
          <w:b/>
          <w:bCs/>
          <w:sz w:val="28"/>
          <w:szCs w:val="28"/>
          <w:u w:val="single"/>
        </w:rPr>
        <w:t>Fundamentação</w:t>
      </w:r>
    </w:p>
    <w:p w:rsidR="00221230" w:rsidRDefault="00221230" w:rsidP="00221230">
      <w:pPr>
        <w:pStyle w:val="Corpodetexto31"/>
        <w:tabs>
          <w:tab w:val="left" w:pos="720"/>
          <w:tab w:val="left" w:pos="2410"/>
        </w:tabs>
        <w:ind w:firstLine="2268"/>
        <w:jc w:val="center"/>
        <w:rPr>
          <w:rFonts w:ascii="Times New Roman" w:eastAsia="Times New Roman" w:hAnsi="Times New Roman"/>
          <w:b/>
          <w:bCs/>
          <w:sz w:val="28"/>
          <w:szCs w:val="28"/>
          <w:u w:val="single"/>
        </w:rPr>
      </w:pPr>
    </w:p>
    <w:p w:rsidR="00221230" w:rsidRDefault="00221230" w:rsidP="00221230">
      <w:pPr>
        <w:pStyle w:val="Corpodotexto"/>
        <w:tabs>
          <w:tab w:val="left" w:pos="2410"/>
          <w:tab w:val="left" w:pos="2760"/>
        </w:tabs>
        <w:spacing w:after="0"/>
        <w:ind w:firstLine="2268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O anteprojeto de lei está disciplinado no inciso IV do parágrafo único do art. 72 da Lei Orgânica Municipal, bem como no art. 203A do Regimento Interno desta Casa Legislativa.</w:t>
      </w:r>
    </w:p>
    <w:p w:rsidR="00221230" w:rsidRDefault="00221230" w:rsidP="00221230">
      <w:pPr>
        <w:pStyle w:val="Corpodotexto"/>
        <w:tabs>
          <w:tab w:val="left" w:pos="2410"/>
          <w:tab w:val="left" w:pos="2760"/>
        </w:tabs>
        <w:spacing w:after="0"/>
        <w:ind w:firstLine="2268"/>
        <w:jc w:val="both"/>
        <w:rPr>
          <w:rFonts w:ascii="Times New Roman" w:hAnsi="Times New Roman"/>
          <w:sz w:val="28"/>
          <w:szCs w:val="28"/>
        </w:rPr>
      </w:pPr>
    </w:p>
    <w:p w:rsidR="00221230" w:rsidRDefault="00221230" w:rsidP="00221230">
      <w:pPr>
        <w:tabs>
          <w:tab w:val="left" w:pos="2410"/>
          <w:tab w:val="left" w:pos="2760"/>
        </w:tabs>
        <w:ind w:firstLine="226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O anteprojeto trata de assunto de interesse local, estando entre aqueles que podem ser normatizados no âmbito municipal, conforme art. 30, I, da Constituição Federal.</w:t>
      </w:r>
    </w:p>
    <w:p w:rsidR="00221230" w:rsidRDefault="00221230" w:rsidP="00221230">
      <w:pPr>
        <w:tabs>
          <w:tab w:val="left" w:pos="2410"/>
          <w:tab w:val="left" w:pos="2760"/>
        </w:tabs>
        <w:ind w:firstLine="226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Tratando-se de anteprojeto, este ainda será analisado pelo Executivo Municipal quanto à sua viabilidade e retorno a esta Casa na forma de projeto de lei.</w:t>
      </w:r>
    </w:p>
    <w:p w:rsidR="00087ABA" w:rsidRDefault="00087ABA" w:rsidP="00221230">
      <w:pPr>
        <w:tabs>
          <w:tab w:val="left" w:pos="2410"/>
          <w:tab w:val="left" w:pos="2760"/>
        </w:tabs>
        <w:ind w:firstLine="2268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21230" w:rsidRDefault="00221230" w:rsidP="00221230">
      <w:pPr>
        <w:tabs>
          <w:tab w:val="left" w:pos="2410"/>
          <w:tab w:val="left" w:pos="2760"/>
        </w:tabs>
        <w:ind w:firstLine="226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A matéria deverá ser analisada pelo Município por meio dos órgãos responsáveis, ocasião propícia para que sejam feitas eventuais modificações necessárias ao projeto.</w:t>
      </w:r>
    </w:p>
    <w:p w:rsidR="00221230" w:rsidRDefault="00221230" w:rsidP="00221230">
      <w:pPr>
        <w:tabs>
          <w:tab w:val="left" w:pos="2410"/>
          <w:tab w:val="left" w:pos="2760"/>
        </w:tabs>
        <w:ind w:firstLine="226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Portanto, o anteprojeto encontra-se devidamente instruído, cabendo aos nobres pares o exame do mérito a respeito do mesmo.</w:t>
      </w:r>
    </w:p>
    <w:p w:rsidR="00221230" w:rsidRDefault="00221230" w:rsidP="00221230">
      <w:pPr>
        <w:tabs>
          <w:tab w:val="left" w:pos="2410"/>
          <w:tab w:val="left" w:pos="2760"/>
        </w:tabs>
        <w:ind w:firstLine="2268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>Conclusão</w:t>
      </w:r>
    </w:p>
    <w:p w:rsidR="00221230" w:rsidRDefault="00221230" w:rsidP="00221230">
      <w:pPr>
        <w:pStyle w:val="Corpodetexto31"/>
        <w:tabs>
          <w:tab w:val="left" w:pos="2410"/>
        </w:tabs>
        <w:ind w:firstLine="2268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Em face do exposto, este relator conclui pela juridicidade, constitucionalidade e legalid</w:t>
      </w:r>
      <w:r w:rsidR="00087ABA">
        <w:rPr>
          <w:rFonts w:ascii="Times New Roman" w:eastAsia="Times New Roman" w:hAnsi="Times New Roman"/>
          <w:sz w:val="28"/>
          <w:szCs w:val="28"/>
        </w:rPr>
        <w:t>ade do Anteprojeto de Lei nº 809</w:t>
      </w:r>
      <w:bookmarkStart w:id="0" w:name="_GoBack"/>
      <w:bookmarkEnd w:id="0"/>
      <w:r>
        <w:rPr>
          <w:rFonts w:ascii="Times New Roman" w:eastAsia="Times New Roman" w:hAnsi="Times New Roman"/>
          <w:sz w:val="28"/>
          <w:szCs w:val="28"/>
        </w:rPr>
        <w:t>/2018, sendo pela sua votação e aprovação.</w:t>
      </w:r>
    </w:p>
    <w:p w:rsidR="00221230" w:rsidRDefault="00221230" w:rsidP="00221230">
      <w:pPr>
        <w:tabs>
          <w:tab w:val="left" w:pos="2410"/>
        </w:tabs>
        <w:ind w:firstLine="2268"/>
        <w:jc w:val="both"/>
        <w:rPr>
          <w:rFonts w:ascii="Times New Roman" w:hAnsi="Times New Roman" w:cs="Times New Roman"/>
          <w:sz w:val="28"/>
          <w:szCs w:val="28"/>
        </w:rPr>
      </w:pPr>
    </w:p>
    <w:p w:rsidR="00221230" w:rsidRDefault="00221230" w:rsidP="00221230">
      <w:pPr>
        <w:tabs>
          <w:tab w:val="left" w:pos="2410"/>
        </w:tabs>
        <w:ind w:firstLine="226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Sala das Reuniões, 07 de março de 2019.</w:t>
      </w:r>
    </w:p>
    <w:p w:rsidR="00221230" w:rsidRDefault="00221230" w:rsidP="00221230">
      <w:pPr>
        <w:tabs>
          <w:tab w:val="left" w:pos="2410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221230" w:rsidRDefault="00221230" w:rsidP="00221230">
      <w:pPr>
        <w:ind w:firstLine="2295"/>
        <w:rPr>
          <w:rFonts w:ascii="Times New Roman" w:hAnsi="Times New Roman" w:cs="Times New Roman"/>
          <w:b/>
          <w:bCs/>
          <w:sz w:val="28"/>
          <w:szCs w:val="28"/>
          <w:lang w:eastAsia="ar-SA"/>
        </w:rPr>
      </w:pPr>
      <w:r>
        <w:rPr>
          <w:rFonts w:ascii="Times New Roman" w:hAnsi="Times New Roman" w:cs="Times New Roman"/>
          <w:b/>
          <w:bCs/>
          <w:sz w:val="28"/>
          <w:szCs w:val="28"/>
          <w:lang w:eastAsia="ar-SA"/>
        </w:rPr>
        <w:t>COMISSÃO DE LEGISLAÇÃO E JUSTIÇA</w:t>
      </w:r>
    </w:p>
    <w:p w:rsidR="00221230" w:rsidRDefault="00221230" w:rsidP="00221230">
      <w:pPr>
        <w:ind w:firstLine="2340"/>
        <w:jc w:val="both"/>
        <w:rPr>
          <w:rFonts w:ascii="Times New Roman" w:hAnsi="Times New Roman" w:cs="Times New Roman"/>
          <w:sz w:val="28"/>
          <w:szCs w:val="28"/>
        </w:rPr>
      </w:pPr>
    </w:p>
    <w:p w:rsidR="00221230" w:rsidRDefault="00221230" w:rsidP="00221230">
      <w:pPr>
        <w:spacing w:after="0" w:line="242" w:lineRule="auto"/>
        <w:ind w:firstLine="226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Euro de Andrade Lanza</w:t>
      </w:r>
    </w:p>
    <w:p w:rsidR="00221230" w:rsidRDefault="00221230" w:rsidP="00221230">
      <w:pPr>
        <w:spacing w:after="0" w:line="242" w:lineRule="auto"/>
        <w:ind w:firstLine="226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Relator</w:t>
      </w:r>
    </w:p>
    <w:p w:rsidR="00221230" w:rsidRDefault="00221230" w:rsidP="00221230">
      <w:pPr>
        <w:spacing w:after="0" w:line="242" w:lineRule="auto"/>
        <w:ind w:firstLine="2268"/>
        <w:rPr>
          <w:rFonts w:ascii="Times New Roman" w:hAnsi="Times New Roman" w:cs="Times New Roman"/>
          <w:sz w:val="28"/>
          <w:szCs w:val="28"/>
        </w:rPr>
      </w:pPr>
    </w:p>
    <w:p w:rsidR="00221230" w:rsidRDefault="00221230" w:rsidP="00221230">
      <w:pPr>
        <w:spacing w:after="0" w:line="242" w:lineRule="auto"/>
        <w:ind w:firstLine="2268"/>
        <w:rPr>
          <w:rFonts w:ascii="Times New Roman" w:hAnsi="Times New Roman" w:cs="Times New Roman"/>
          <w:sz w:val="28"/>
          <w:szCs w:val="28"/>
        </w:rPr>
      </w:pPr>
    </w:p>
    <w:p w:rsidR="00221230" w:rsidRDefault="00221230" w:rsidP="00221230">
      <w:pPr>
        <w:ind w:firstLine="2268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V O T O S</w:t>
      </w:r>
    </w:p>
    <w:p w:rsidR="00221230" w:rsidRDefault="00221230" w:rsidP="00221230">
      <w:pPr>
        <w:ind w:firstLine="2268"/>
        <w:rPr>
          <w:rFonts w:ascii="Times New Roman" w:hAnsi="Times New Roman" w:cs="Times New Roman"/>
          <w:sz w:val="28"/>
          <w:szCs w:val="28"/>
        </w:rPr>
      </w:pPr>
    </w:p>
    <w:p w:rsidR="00221230" w:rsidRDefault="00221230" w:rsidP="00221230">
      <w:pPr>
        <w:ind w:firstLine="226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De acordo com o relator.</w:t>
      </w:r>
    </w:p>
    <w:p w:rsidR="00221230" w:rsidRDefault="00221230" w:rsidP="00221230">
      <w:pPr>
        <w:ind w:firstLine="2268"/>
        <w:rPr>
          <w:rFonts w:ascii="Times New Roman" w:hAnsi="Times New Roman" w:cs="Times New Roman"/>
          <w:sz w:val="28"/>
          <w:szCs w:val="28"/>
        </w:rPr>
      </w:pPr>
    </w:p>
    <w:p w:rsidR="00221230" w:rsidRDefault="00221230" w:rsidP="00221230">
      <w:pPr>
        <w:ind w:firstLine="2268"/>
        <w:rPr>
          <w:rFonts w:ascii="Times New Roman" w:hAnsi="Times New Roman" w:cs="Times New Roman"/>
          <w:sz w:val="28"/>
          <w:szCs w:val="28"/>
        </w:rPr>
      </w:pPr>
    </w:p>
    <w:p w:rsidR="00221230" w:rsidRDefault="00221230" w:rsidP="00221230">
      <w:pPr>
        <w:spacing w:after="0"/>
        <w:ind w:firstLine="226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Fabrício Augusto Carvalho do Nascimento</w:t>
      </w:r>
    </w:p>
    <w:p w:rsidR="00221230" w:rsidRDefault="00221230" w:rsidP="00221230">
      <w:pPr>
        <w:spacing w:after="0"/>
        <w:ind w:firstLine="226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Presidente </w:t>
      </w:r>
    </w:p>
    <w:p w:rsidR="00221230" w:rsidRDefault="00221230" w:rsidP="00221230">
      <w:pPr>
        <w:spacing w:after="0"/>
        <w:ind w:firstLine="2268"/>
        <w:jc w:val="both"/>
        <w:rPr>
          <w:rFonts w:ascii="Times New Roman" w:hAnsi="Times New Roman" w:cs="Times New Roman"/>
          <w:sz w:val="28"/>
          <w:szCs w:val="28"/>
        </w:rPr>
      </w:pPr>
    </w:p>
    <w:p w:rsidR="00221230" w:rsidRDefault="00221230" w:rsidP="00221230">
      <w:pPr>
        <w:spacing w:after="0"/>
        <w:ind w:firstLine="2268"/>
        <w:jc w:val="both"/>
        <w:rPr>
          <w:rFonts w:ascii="Times New Roman" w:hAnsi="Times New Roman" w:cs="Times New Roman"/>
          <w:sz w:val="28"/>
          <w:szCs w:val="28"/>
        </w:rPr>
      </w:pPr>
    </w:p>
    <w:p w:rsidR="00221230" w:rsidRDefault="00221230" w:rsidP="00221230">
      <w:pPr>
        <w:spacing w:after="0"/>
        <w:ind w:firstLine="2268"/>
        <w:jc w:val="both"/>
        <w:rPr>
          <w:rFonts w:ascii="Times New Roman" w:hAnsi="Times New Roman" w:cs="Times New Roman"/>
          <w:sz w:val="28"/>
          <w:szCs w:val="28"/>
        </w:rPr>
      </w:pPr>
    </w:p>
    <w:p w:rsidR="00221230" w:rsidRDefault="00221230" w:rsidP="00221230">
      <w:pPr>
        <w:spacing w:after="0"/>
        <w:ind w:firstLine="226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José Pereira da Silva</w:t>
      </w:r>
    </w:p>
    <w:p w:rsidR="00221230" w:rsidRDefault="00221230" w:rsidP="00221230">
      <w:pPr>
        <w:spacing w:after="0"/>
        <w:ind w:firstLine="226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Vogal</w:t>
      </w:r>
    </w:p>
    <w:p w:rsidR="00221230" w:rsidRDefault="00221230" w:rsidP="00221230">
      <w:pPr>
        <w:spacing w:after="0"/>
        <w:ind w:firstLine="2268"/>
        <w:jc w:val="both"/>
        <w:rPr>
          <w:rFonts w:ascii="Verdana" w:hAnsi="Verdana"/>
        </w:rPr>
      </w:pPr>
    </w:p>
    <w:p w:rsidR="00221230" w:rsidRDefault="00221230" w:rsidP="00221230">
      <w:pPr>
        <w:spacing w:after="0"/>
        <w:ind w:firstLine="2268"/>
        <w:jc w:val="both"/>
        <w:rPr>
          <w:rFonts w:ascii="Verdana" w:hAnsi="Verdana"/>
        </w:rPr>
      </w:pPr>
    </w:p>
    <w:p w:rsidR="00221230" w:rsidRDefault="00221230" w:rsidP="00221230">
      <w:pPr>
        <w:pStyle w:val="Standard"/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9D1D0F" w:rsidRDefault="009D1D0F"/>
    <w:sectPr w:rsidR="009D1D0F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B0BE9" w:rsidRDefault="000B0BE9" w:rsidP="00513AD9">
      <w:pPr>
        <w:spacing w:after="0"/>
      </w:pPr>
      <w:r>
        <w:separator/>
      </w:r>
    </w:p>
  </w:endnote>
  <w:endnote w:type="continuationSeparator" w:id="0">
    <w:p w:rsidR="000B0BE9" w:rsidRDefault="000B0BE9" w:rsidP="00513AD9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">
    <w:altName w:val="Times New Roman"/>
    <w:charset w:val="00"/>
    <w:family w:val="auto"/>
    <w:pitch w:val="variable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jaVu Sans">
    <w:charset w:val="00"/>
    <w:family w:val="auto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13AD9" w:rsidRDefault="00513AD9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13AD9" w:rsidRDefault="00513AD9">
    <w:pPr>
      <w:pStyle w:val="Rodap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13AD9" w:rsidRDefault="00513AD9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B0BE9" w:rsidRDefault="000B0BE9" w:rsidP="00513AD9">
      <w:pPr>
        <w:spacing w:after="0"/>
      </w:pPr>
      <w:r>
        <w:separator/>
      </w:r>
    </w:p>
  </w:footnote>
  <w:footnote w:type="continuationSeparator" w:id="0">
    <w:p w:rsidR="000B0BE9" w:rsidRDefault="000B0BE9" w:rsidP="00513AD9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13AD9" w:rsidRDefault="00513AD9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13AD9" w:rsidRDefault="00513AD9" w:rsidP="00513AD9">
    <w:pPr>
      <w:pStyle w:val="Cabealho"/>
      <w:jc w:val="center"/>
    </w:pPr>
    <w:r>
      <w:rPr>
        <w:b/>
        <w:noProof/>
        <w:sz w:val="32"/>
        <w:lang w:eastAsia="pt-BR"/>
      </w:rPr>
      <w:drawing>
        <wp:anchor distT="0" distB="0" distL="114300" distR="114300" simplePos="0" relativeHeight="251661312" behindDoc="0" locked="0" layoutInCell="1" allowOverlap="1" wp14:anchorId="1561C0B3" wp14:editId="622A4B12">
          <wp:simplePos x="0" y="0"/>
          <wp:positionH relativeFrom="column">
            <wp:posOffset>5114925</wp:posOffset>
          </wp:positionH>
          <wp:positionV relativeFrom="paragraph">
            <wp:posOffset>-83185</wp:posOffset>
          </wp:positionV>
          <wp:extent cx="771525" cy="838203"/>
          <wp:effectExtent l="0" t="0" r="9525" b="0"/>
          <wp:wrapThrough wrapText="bothSides">
            <wp:wrapPolygon edited="0">
              <wp:start x="0" y="0"/>
              <wp:lineTo x="0" y="21109"/>
              <wp:lineTo x="20800" y="21109"/>
              <wp:lineTo x="20800" y="0"/>
              <wp:lineTo x="0" y="0"/>
            </wp:wrapPolygon>
          </wp:wrapThrough>
          <wp:docPr id="1" name="Imagem 2" descr="D:\Usuarios\Usuario\Desktop\Sistema Certificado ISO 9001_2008_Azul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71525" cy="838203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  <w:r>
      <w:rPr>
        <w:b/>
        <w:noProof/>
        <w:sz w:val="32"/>
        <w:lang w:eastAsia="pt-BR"/>
      </w:rPr>
      <w:drawing>
        <wp:anchor distT="0" distB="0" distL="114300" distR="114300" simplePos="0" relativeHeight="251659264" behindDoc="0" locked="0" layoutInCell="1" allowOverlap="1" wp14:anchorId="5022DD5E" wp14:editId="64934B45">
          <wp:simplePos x="0" y="0"/>
          <wp:positionH relativeFrom="margin">
            <wp:posOffset>-523875</wp:posOffset>
          </wp:positionH>
          <wp:positionV relativeFrom="paragraph">
            <wp:posOffset>-213995</wp:posOffset>
          </wp:positionV>
          <wp:extent cx="902969" cy="902969"/>
          <wp:effectExtent l="0" t="0" r="0" b="0"/>
          <wp:wrapTight wrapText="bothSides">
            <wp:wrapPolygon edited="0">
              <wp:start x="0" y="0"/>
              <wp:lineTo x="0" y="20977"/>
              <wp:lineTo x="20977" y="20977"/>
              <wp:lineTo x="20977" y="0"/>
              <wp:lineTo x="0" y="0"/>
            </wp:wrapPolygon>
          </wp:wrapTight>
          <wp:docPr id="2" name="Imagem 4" descr="D:\____Projetos\____INSTITUCIONAL\foto-perfil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902969" cy="902969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  <w:r>
      <w:rPr>
        <w:b/>
        <w:sz w:val="32"/>
      </w:rPr>
      <w:t>Câmara Municipal de Sete Lagoas</w:t>
    </w:r>
  </w:p>
  <w:p w:rsidR="00513AD9" w:rsidRDefault="00513AD9" w:rsidP="00513AD9">
    <w:pPr>
      <w:pStyle w:val="Cabealho"/>
      <w:jc w:val="center"/>
      <w:rPr>
        <w:sz w:val="20"/>
      </w:rPr>
    </w:pPr>
    <w:r>
      <w:rPr>
        <w:sz w:val="20"/>
      </w:rPr>
      <w:t>ESTADO DE MINAS GERAIS</w:t>
    </w:r>
  </w:p>
  <w:p w:rsidR="00513AD9" w:rsidRDefault="00513AD9" w:rsidP="00513AD9">
    <w:pPr>
      <w:pStyle w:val="Cabealho"/>
      <w:rPr>
        <w:sz w:val="18"/>
      </w:rPr>
    </w:pPr>
    <w:r>
      <w:rPr>
        <w:sz w:val="18"/>
      </w:rPr>
      <w:t xml:space="preserve">        Rua Domingos </w:t>
    </w:r>
    <w:proofErr w:type="spellStart"/>
    <w:r>
      <w:rPr>
        <w:sz w:val="18"/>
      </w:rPr>
      <w:t>L’ouverture</w:t>
    </w:r>
    <w:proofErr w:type="spellEnd"/>
    <w:r>
      <w:rPr>
        <w:sz w:val="18"/>
      </w:rPr>
      <w:t>, 335 - São Geraldo - Sete Lagoas/MG - CEP: 35700-046</w:t>
    </w:r>
    <w:r>
      <w:rPr>
        <w:sz w:val="18"/>
      </w:rPr>
      <w:br/>
      <w:t xml:space="preserve">                              Fone: 31 3779-6300 | E-mail: atendimento@camarasete.mg.gov.br</w:t>
    </w:r>
  </w:p>
  <w:p w:rsidR="00513AD9" w:rsidRDefault="00513AD9" w:rsidP="00513AD9">
    <w:pPr>
      <w:pStyle w:val="Cabealh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13AD9" w:rsidRDefault="00513AD9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3AD9"/>
    <w:rsid w:val="00087ABA"/>
    <w:rsid w:val="000B0BE9"/>
    <w:rsid w:val="00221230"/>
    <w:rsid w:val="00513AD9"/>
    <w:rsid w:val="00883EC5"/>
    <w:rsid w:val="009D1D0F"/>
    <w:rsid w:val="00DB592D"/>
    <w:rsid w:val="00F74F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885A22D-72A8-4B02-AB4B-08708261D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21230"/>
    <w:pPr>
      <w:widowControl w:val="0"/>
      <w:suppressAutoHyphens/>
      <w:autoSpaceDN w:val="0"/>
      <w:spacing w:line="240" w:lineRule="auto"/>
    </w:pPr>
    <w:rPr>
      <w:rFonts w:ascii="Calibri" w:eastAsia="Calibri" w:hAnsi="Calibri" w:cs="F"/>
      <w:kern w:val="3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513AD9"/>
    <w:pPr>
      <w:widowControl/>
      <w:tabs>
        <w:tab w:val="center" w:pos="4252"/>
        <w:tab w:val="right" w:pos="8504"/>
      </w:tabs>
      <w:suppressAutoHyphens w:val="0"/>
      <w:autoSpaceDN/>
      <w:spacing w:after="0"/>
    </w:pPr>
    <w:rPr>
      <w:rFonts w:asciiTheme="minorHAnsi" w:eastAsiaTheme="minorHAnsi" w:hAnsiTheme="minorHAnsi" w:cstheme="minorBidi"/>
      <w:kern w:val="0"/>
    </w:rPr>
  </w:style>
  <w:style w:type="character" w:customStyle="1" w:styleId="CabealhoChar">
    <w:name w:val="Cabeçalho Char"/>
    <w:basedOn w:val="Fontepargpadro"/>
    <w:link w:val="Cabealho"/>
    <w:uiPriority w:val="99"/>
    <w:rsid w:val="00513AD9"/>
  </w:style>
  <w:style w:type="paragraph" w:styleId="Rodap">
    <w:name w:val="footer"/>
    <w:basedOn w:val="Normal"/>
    <w:link w:val="RodapChar"/>
    <w:uiPriority w:val="99"/>
    <w:unhideWhenUsed/>
    <w:rsid w:val="00513AD9"/>
    <w:pPr>
      <w:widowControl/>
      <w:tabs>
        <w:tab w:val="center" w:pos="4252"/>
        <w:tab w:val="right" w:pos="8504"/>
      </w:tabs>
      <w:suppressAutoHyphens w:val="0"/>
      <w:autoSpaceDN/>
      <w:spacing w:after="0"/>
    </w:pPr>
    <w:rPr>
      <w:rFonts w:asciiTheme="minorHAnsi" w:eastAsiaTheme="minorHAnsi" w:hAnsiTheme="minorHAnsi" w:cstheme="minorBidi"/>
      <w:kern w:val="0"/>
    </w:rPr>
  </w:style>
  <w:style w:type="character" w:customStyle="1" w:styleId="RodapChar">
    <w:name w:val="Rodapé Char"/>
    <w:basedOn w:val="Fontepargpadro"/>
    <w:link w:val="Rodap"/>
    <w:uiPriority w:val="99"/>
    <w:rsid w:val="00513AD9"/>
  </w:style>
  <w:style w:type="paragraph" w:customStyle="1" w:styleId="Standard">
    <w:name w:val="Standard"/>
    <w:rsid w:val="00221230"/>
    <w:pPr>
      <w:suppressAutoHyphens/>
      <w:autoSpaceDN w:val="0"/>
      <w:spacing w:line="240" w:lineRule="auto"/>
    </w:pPr>
    <w:rPr>
      <w:rFonts w:ascii="Calibri" w:eastAsia="Calibri" w:hAnsi="Calibri" w:cs="F"/>
      <w:kern w:val="3"/>
    </w:rPr>
  </w:style>
  <w:style w:type="paragraph" w:customStyle="1" w:styleId="Corpodotexto">
    <w:name w:val="Corpo do texto"/>
    <w:basedOn w:val="Normal"/>
    <w:rsid w:val="00221230"/>
    <w:pPr>
      <w:spacing w:after="120" w:line="100" w:lineRule="atLeast"/>
    </w:pPr>
    <w:rPr>
      <w:rFonts w:ascii="Times" w:eastAsia="DejaVu Sans" w:hAnsi="Times" w:cs="Times New Roman"/>
      <w:color w:val="00000A"/>
      <w:kern w:val="0"/>
      <w:sz w:val="24"/>
      <w:szCs w:val="24"/>
      <w:lang w:eastAsia="pt-BR"/>
    </w:rPr>
  </w:style>
  <w:style w:type="paragraph" w:customStyle="1" w:styleId="Corpodetexto31">
    <w:name w:val="Corpo de texto 31"/>
    <w:basedOn w:val="Normal"/>
    <w:rsid w:val="00221230"/>
    <w:pPr>
      <w:spacing w:after="0" w:line="100" w:lineRule="atLeast"/>
      <w:jc w:val="both"/>
    </w:pPr>
    <w:rPr>
      <w:rFonts w:ascii="Arial" w:eastAsia="DejaVu Sans" w:hAnsi="Arial" w:cs="Times New Roman"/>
      <w:color w:val="00000A"/>
      <w:kern w:val="0"/>
      <w:sz w:val="26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1945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355</Words>
  <Characters>1919</Characters>
  <Application>Microsoft Office Word</Application>
  <DocSecurity>0</DocSecurity>
  <Lines>15</Lines>
  <Paragraphs>4</Paragraphs>
  <ScaleCrop>false</ScaleCrop>
  <Company/>
  <LinksUpToDate>false</LinksUpToDate>
  <CharactersWithSpaces>2270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4</cp:revision>
  <dcterms:created xsi:type="dcterms:W3CDTF">2019-03-07T18:12:00Z</dcterms:created>
  <dcterms:modified xsi:type="dcterms:W3CDTF">2019-03-07T18:29:00Z</dcterms:modified>
</cp:coreProperties>
</file>