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1E" w:rsidRDefault="00D5501E" w:rsidP="00D5501E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PARECER REGIMENTAL (conjunto)</w:t>
      </w:r>
    </w:p>
    <w:p w:rsidR="00D5501E" w:rsidRDefault="00D5501E" w:rsidP="00D5501E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D5501E" w:rsidRDefault="00D5501E" w:rsidP="00D5501E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 - CLJ</w:t>
      </w:r>
    </w:p>
    <w:p w:rsidR="00D5501E" w:rsidRDefault="00D5501E" w:rsidP="00D5501E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D5501E" w:rsidRDefault="00D5501E" w:rsidP="00D5501E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FISCALIZAÇÃO FINANCEIRA E ORÇAMENTÁRIA E DE TOMADA DE CONTAS - CFFOTC</w:t>
      </w:r>
    </w:p>
    <w:p w:rsidR="00D5501E" w:rsidRDefault="00D5501E" w:rsidP="00D5501E">
      <w:pPr>
        <w:rPr>
          <w:rFonts w:ascii="Verdana" w:hAnsi="Verdana" w:cs="DejaVu Sans"/>
          <w:b/>
          <w:bCs/>
          <w:sz w:val="24"/>
          <w:szCs w:val="24"/>
        </w:rPr>
      </w:pPr>
    </w:p>
    <w:p w:rsidR="00D5501E" w:rsidRDefault="00D5501E" w:rsidP="00D5501E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MATÉRIA: </w:t>
      </w:r>
      <w:r w:rsidR="00D06330" w:rsidRPr="00D06330">
        <w:rPr>
          <w:rFonts w:ascii="Verdana" w:hAnsi="Verdana" w:cs="DejaVu Sans"/>
          <w:bCs/>
          <w:sz w:val="24"/>
          <w:szCs w:val="24"/>
        </w:rPr>
        <w:t>Emenda Modificativa nº 01 ao</w:t>
      </w:r>
      <w:r w:rsidR="00D06330">
        <w:rPr>
          <w:rFonts w:ascii="Verdana" w:hAnsi="Verdana" w:cs="DejaVu Sans"/>
          <w:b/>
          <w:bCs/>
          <w:sz w:val="24"/>
          <w:szCs w:val="24"/>
        </w:rPr>
        <w:t xml:space="preserve"> </w:t>
      </w:r>
      <w:r>
        <w:rPr>
          <w:rFonts w:ascii="Verdana" w:hAnsi="Verdana" w:cs="DejaVu Sans"/>
          <w:bCs/>
          <w:sz w:val="24"/>
          <w:szCs w:val="24"/>
        </w:rPr>
        <w:t>Projeto</w:t>
      </w:r>
      <w:r>
        <w:rPr>
          <w:rFonts w:ascii="Verdana" w:hAnsi="Verdana" w:cs="DejaVu Sans"/>
          <w:sz w:val="24"/>
          <w:szCs w:val="24"/>
        </w:rPr>
        <w:t xml:space="preserve"> de Lei nº 269/2017 - </w:t>
      </w:r>
      <w:proofErr w:type="gramStart"/>
      <w:r>
        <w:rPr>
          <w:rFonts w:ascii="Verdana" w:hAnsi="Verdana" w:cs="DejaVu Sans"/>
          <w:sz w:val="24"/>
          <w:szCs w:val="24"/>
        </w:rPr>
        <w:t>“Altera a Lei nº 8.619 de 27 de janeiro de 2017 que “Dispõe sobre os meios de cobrança de créditos tributários e não tributários inscritos em dívida ativa e dá outras providências”</w:t>
      </w:r>
    </w:p>
    <w:p w:rsidR="00D5501E" w:rsidRDefault="00D5501E" w:rsidP="00D5501E">
      <w:pPr>
        <w:pBdr>
          <w:bottom w:val="single" w:sz="8" w:space="0" w:color="000001"/>
        </w:pBdr>
        <w:rPr>
          <w:rFonts w:ascii="Verdana" w:hAnsi="Verdana" w:cs="DejaVu Sans"/>
          <w:sz w:val="24"/>
          <w:szCs w:val="24"/>
        </w:rPr>
      </w:pPr>
      <w:proofErr w:type="gramEnd"/>
      <w:r>
        <w:rPr>
          <w:rFonts w:ascii="Verdana" w:hAnsi="Verdana" w:cs="DejaVu Sans"/>
          <w:b/>
          <w:bCs/>
          <w:sz w:val="24"/>
          <w:szCs w:val="24"/>
        </w:rPr>
        <w:t>INICIATIVA:</w:t>
      </w:r>
      <w:r w:rsidR="00D06330">
        <w:rPr>
          <w:rFonts w:ascii="Verdana" w:hAnsi="Verdana" w:cs="DejaVu Sans"/>
          <w:sz w:val="24"/>
          <w:szCs w:val="24"/>
        </w:rPr>
        <w:t xml:space="preserve"> Vereadores Euro de Andrade Lanza, Marli Aparecida Barbosa, Milton Maurício Martins, Albertinho José da Fonseca e José Pereira da Silva.</w:t>
      </w:r>
    </w:p>
    <w:p w:rsidR="00D5501E" w:rsidRDefault="00D5501E" w:rsidP="00D5501E">
      <w:pPr>
        <w:pBdr>
          <w:bottom w:val="single" w:sz="8" w:space="0" w:color="000001"/>
        </w:pBdr>
        <w:rPr>
          <w:rFonts w:ascii="Verdana" w:hAnsi="Verdana" w:cs="Times New Roman"/>
          <w:sz w:val="24"/>
          <w:szCs w:val="24"/>
        </w:rPr>
      </w:pPr>
    </w:p>
    <w:p w:rsidR="00D5501E" w:rsidRPr="00F721CD" w:rsidRDefault="00D5501E" w:rsidP="00D5501E">
      <w:pPr>
        <w:rPr>
          <w:rFonts w:ascii="Verdana" w:hAnsi="Verdana" w:cs="DejaVu Sans"/>
        </w:rPr>
      </w:pPr>
    </w:p>
    <w:p w:rsidR="00D5501E" w:rsidRPr="00F721CD" w:rsidRDefault="00D5501E" w:rsidP="00D5501E">
      <w:pPr>
        <w:ind w:firstLine="2295"/>
        <w:jc w:val="both"/>
        <w:rPr>
          <w:rFonts w:ascii="Verdana" w:hAnsi="Verdana" w:cs="DejaVu Sans"/>
          <w:u w:val="single"/>
        </w:rPr>
      </w:pPr>
      <w:r w:rsidRPr="00F721CD">
        <w:rPr>
          <w:rFonts w:ascii="Verdana" w:hAnsi="Verdana" w:cs="DejaVu Sans"/>
          <w:u w:val="single"/>
        </w:rPr>
        <w:t>Relatório</w:t>
      </w:r>
    </w:p>
    <w:p w:rsidR="00D5501E" w:rsidRPr="00F721CD" w:rsidRDefault="00D5501E" w:rsidP="00D5501E">
      <w:pPr>
        <w:ind w:firstLine="2295"/>
        <w:jc w:val="both"/>
        <w:rPr>
          <w:rFonts w:ascii="Verdana" w:hAnsi="Verdana" w:cs="DejaVu Sans"/>
        </w:rPr>
      </w:pPr>
    </w:p>
    <w:p w:rsidR="00D5501E" w:rsidRPr="00F721CD" w:rsidRDefault="00D5501E" w:rsidP="00D5501E">
      <w:pPr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A proposição acima referenciada, cuja iniciativa pertence ao</w:t>
      </w:r>
      <w:bookmarkStart w:id="0" w:name="__DdeLink__193_1889762677"/>
      <w:bookmarkEnd w:id="0"/>
      <w:r w:rsidR="00D06330" w:rsidRPr="00F721CD">
        <w:rPr>
          <w:rFonts w:ascii="Verdana" w:hAnsi="Verdana" w:cs="DejaVu Sans"/>
        </w:rPr>
        <w:t>s Vereadores acima mencionados</w:t>
      </w:r>
      <w:r w:rsidRPr="00F721CD">
        <w:rPr>
          <w:rFonts w:ascii="Verdana" w:hAnsi="Verdana" w:cs="DejaVu Sans"/>
        </w:rPr>
        <w:t xml:space="preserve">, objetiva alterar o </w:t>
      </w:r>
      <w:r w:rsidR="00D06330" w:rsidRPr="00F721CD">
        <w:rPr>
          <w:rFonts w:ascii="Verdana" w:hAnsi="Verdana" w:cs="DejaVu Sans"/>
        </w:rPr>
        <w:t>art. 1º</w:t>
      </w:r>
      <w:proofErr w:type="gramStart"/>
      <w:r w:rsidR="00D06330" w:rsidRPr="00F721CD">
        <w:rPr>
          <w:rFonts w:ascii="Verdana" w:hAnsi="Verdana" w:cs="DejaVu Sans"/>
        </w:rPr>
        <w:t xml:space="preserve">  </w:t>
      </w:r>
      <w:proofErr w:type="gramEnd"/>
      <w:r w:rsidR="00D06330" w:rsidRPr="00F721CD">
        <w:rPr>
          <w:rFonts w:ascii="Verdana" w:hAnsi="Verdana" w:cs="DejaVu Sans"/>
        </w:rPr>
        <w:t xml:space="preserve">do Projeto de Lei nº 269/2017, aumentando de </w:t>
      </w:r>
      <w:r w:rsidRPr="00F721CD">
        <w:rPr>
          <w:rFonts w:ascii="Verdana" w:hAnsi="Verdana" w:cs="DejaVu Sans"/>
        </w:rPr>
        <w:t>15</w:t>
      </w:r>
      <w:r w:rsidR="00D06330" w:rsidRPr="00F721CD">
        <w:rPr>
          <w:rFonts w:ascii="Verdana" w:hAnsi="Verdana" w:cs="DejaVu Sans"/>
        </w:rPr>
        <w:t xml:space="preserve"> para 30</w:t>
      </w:r>
      <w:r w:rsidRPr="00F721CD">
        <w:rPr>
          <w:rFonts w:ascii="Verdana" w:hAnsi="Verdana" w:cs="DejaVu Sans"/>
        </w:rPr>
        <w:t xml:space="preserve"> dias após o comunicado de cobrança administrativa, o prazo concedido ao contribuinte para o pagamento de seu débito tributário ou não tributário inscrito em dívida ativa, antes que ocorra o protesto extrajudicial da dívida.  </w:t>
      </w:r>
    </w:p>
    <w:p w:rsidR="00D5501E" w:rsidRPr="00F721CD" w:rsidRDefault="00D06330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A Emenda foi distribuída</w:t>
      </w:r>
      <w:r w:rsidR="00D5501E" w:rsidRPr="00F721CD">
        <w:rPr>
          <w:rFonts w:ascii="Verdana" w:hAnsi="Verdana" w:cs="DejaVu Sans"/>
        </w:rPr>
        <w:t xml:space="preserve"> nesta data a esta Comissão de Legislação e Justiça – CLJ e Comissão de Fiscalização Financeira, Orçamentária e de Tomada de Contas - CFFOTC, para receber parecer conjunto quanto aos aspectos de sua legalidade, juridicidade e constitucionalidade, bem como pela adequação da propositura ao sistema orçamentário municipal, nos termos do disposto no</w:t>
      </w:r>
      <w:proofErr w:type="gramStart"/>
      <w:r w:rsidR="00D5501E" w:rsidRPr="00F721CD">
        <w:rPr>
          <w:rFonts w:ascii="Verdana" w:hAnsi="Verdana" w:cs="DejaVu Sans"/>
        </w:rPr>
        <w:t xml:space="preserve">  </w:t>
      </w:r>
      <w:proofErr w:type="gramEnd"/>
      <w:r w:rsidR="00D5501E" w:rsidRPr="00F721CD">
        <w:rPr>
          <w:rFonts w:ascii="Verdana" w:hAnsi="Verdana" w:cs="DejaVu Sans"/>
        </w:rPr>
        <w:t>Regimento Interno desta Casa Legislativa.</w:t>
      </w:r>
    </w:p>
    <w:p w:rsidR="00D5501E" w:rsidRPr="00F721CD" w:rsidRDefault="00D5501E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 w:rsidRPr="00F721CD">
        <w:rPr>
          <w:rFonts w:ascii="Verdana" w:hAnsi="Verdana" w:cs="DejaVu Sans"/>
        </w:rPr>
        <w:t xml:space="preserve">Presentes à reunião os </w:t>
      </w:r>
      <w:proofErr w:type="spellStart"/>
      <w:proofErr w:type="gramStart"/>
      <w:r w:rsidRPr="00F721CD">
        <w:rPr>
          <w:rFonts w:ascii="Verdana" w:hAnsi="Verdana" w:cs="DejaVu Sans"/>
        </w:rPr>
        <w:t>srs.</w:t>
      </w:r>
      <w:proofErr w:type="spellEnd"/>
      <w:proofErr w:type="gramEnd"/>
      <w:r w:rsidRPr="00F721CD">
        <w:rPr>
          <w:rFonts w:ascii="Verdana" w:hAnsi="Verdana" w:cs="DejaVu Sans"/>
        </w:rPr>
        <w:t xml:space="preserve"> Vereadores componentes da CLJ e CFFOTC, sendo que o Vereador Fabrício Augusto Carvalho do Nascimento, presidente da CLJ, fez-se representar pela suplente, Vereadora Marli Aparecida Barbosa. </w:t>
      </w:r>
      <w:proofErr w:type="gramStart"/>
      <w:r w:rsidRPr="00F721CD">
        <w:rPr>
          <w:rFonts w:ascii="Verdana" w:hAnsi="Verdana" w:cs="DejaVu Sans"/>
        </w:rPr>
        <w:t>Registre-se</w:t>
      </w:r>
      <w:proofErr w:type="gramEnd"/>
      <w:r w:rsidRPr="00F721CD">
        <w:rPr>
          <w:rFonts w:ascii="Verdana" w:hAnsi="Verdana" w:cs="DejaVu Sans"/>
        </w:rPr>
        <w:t xml:space="preserve"> também as ausências dos Vereadores Renato Gomes e Joaquim Gonzaga Barbosa, membros da CFFOTC, sendo que o Vereador Joaquim Gonzaga Barbosa fez-se representar pelo suplente </w:t>
      </w:r>
      <w:r w:rsidRPr="00F721CD">
        <w:rPr>
          <w:rFonts w:ascii="Verdana" w:hAnsi="Verdana" w:cs="DejaVu Sans"/>
        </w:rPr>
        <w:lastRenderedPageBreak/>
        <w:t>Vereador Albertinho José da Fonseca que assumiu a relatoria dos trabalhos pela citada Comissão. Quanto ao Vereador Renato Gomes, o mesmo justificou sua ausência em razão de problemas de saúde, conforme OF/Interno 39/2017.  Presentes também os membros da Procuradoria Geral do Legislativo, o Consultor Jurídico, Assessores de Gabinetes e munícipes.</w:t>
      </w:r>
    </w:p>
    <w:p w:rsidR="00D5501E" w:rsidRPr="00F721CD" w:rsidRDefault="00D5501E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D5501E" w:rsidRPr="00F721CD" w:rsidRDefault="00D5501E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 w:rsidRPr="00F721CD">
        <w:rPr>
          <w:rFonts w:ascii="Verdana" w:hAnsi="Verdana" w:cs="DejaVu Sans"/>
          <w:u w:val="single"/>
        </w:rPr>
        <w:t>Fundamentação</w:t>
      </w:r>
    </w:p>
    <w:p w:rsidR="00D5501E" w:rsidRPr="00F721CD" w:rsidRDefault="00D5501E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D5501E" w:rsidRPr="00F721CD" w:rsidRDefault="00D5501E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Feitos os esclarecimentos necessários pela Procuradoria Geral do Legislativo, após discussão da questão entre os membros das Comissões, passamos a relatar o seguinte.</w:t>
      </w:r>
    </w:p>
    <w:p w:rsidR="00D5501E" w:rsidRPr="00F721CD" w:rsidRDefault="00D06330" w:rsidP="00D06330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A proposição ora analisada aumenta de 15 para 30</w:t>
      </w:r>
      <w:r w:rsidR="00D5501E" w:rsidRPr="00F721CD">
        <w:rPr>
          <w:rFonts w:ascii="Verdana" w:hAnsi="Verdana" w:cs="DejaVu Sans"/>
        </w:rPr>
        <w:t xml:space="preserve"> dias após a cobrança ad</w:t>
      </w:r>
      <w:r w:rsidRPr="00F721CD">
        <w:rPr>
          <w:rFonts w:ascii="Verdana" w:hAnsi="Verdana" w:cs="DejaVu Sans"/>
        </w:rPr>
        <w:t>ministrativa, o prazo a ser concedido</w:t>
      </w:r>
      <w:r w:rsidR="00D5501E" w:rsidRPr="00F721CD">
        <w:rPr>
          <w:rFonts w:ascii="Verdana" w:hAnsi="Verdana" w:cs="DejaVu Sans"/>
        </w:rPr>
        <w:t xml:space="preserve"> ao contribuinte para o pagamento de seu débito tributário ou não tributário inscrito em dívida ativa, antes que ocorra o protesto extrajudicial da dívida. </w:t>
      </w:r>
      <w:r w:rsidRPr="00F721CD">
        <w:rPr>
          <w:rFonts w:ascii="Verdana" w:hAnsi="Verdana" w:cs="DejaVu Sans"/>
        </w:rPr>
        <w:t>Mencione-se que o prazo atual da Lei nº 8.619/2017 é de 60 dias e que o Projeto de Lei nº 269/2017 então alterado pela Emenda Modificativa ora em discussão, reduz tal prazo para 15 dias.</w:t>
      </w:r>
    </w:p>
    <w:p w:rsidR="00D5501E" w:rsidRPr="00F721CD" w:rsidRDefault="00D06330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O</w:t>
      </w:r>
      <w:r w:rsidR="00D5501E" w:rsidRPr="00F721CD">
        <w:rPr>
          <w:rFonts w:ascii="Verdana" w:hAnsi="Verdana" w:cs="DejaVu Sans"/>
        </w:rPr>
        <w:t xml:space="preserve"> Administrador público deve estar sempre atento para a questão da prescrição do crédito tributário, hipótese em que na ocorrência da mesma e não havendo justificativa plausível, poderá haver responsabilização do agente público omisso ou negligente quanto </w:t>
      </w:r>
      <w:proofErr w:type="gramStart"/>
      <w:r w:rsidR="00D5501E" w:rsidRPr="00F721CD">
        <w:rPr>
          <w:rFonts w:ascii="Verdana" w:hAnsi="Verdana" w:cs="DejaVu Sans"/>
        </w:rPr>
        <w:t>a</w:t>
      </w:r>
      <w:proofErr w:type="gramEnd"/>
      <w:r w:rsidR="00D5501E" w:rsidRPr="00F721CD">
        <w:rPr>
          <w:rFonts w:ascii="Verdana" w:hAnsi="Verdana" w:cs="DejaVu Sans"/>
        </w:rPr>
        <w:t xml:space="preserve"> questão.</w:t>
      </w:r>
    </w:p>
    <w:p w:rsidR="00D5501E" w:rsidRPr="00F721CD" w:rsidRDefault="00D5501E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A Lei nº 8.619/17 representou um grande passo da Administração no que se refere à matéria ora tratada, apresentando adequações ao sistema de cobrança extrajudicial dos títulos inscritos em dívida ativa, adotando nova sistemática de cobrança.</w:t>
      </w:r>
    </w:p>
    <w:p w:rsidR="00D5501E" w:rsidRPr="00F721CD" w:rsidRDefault="00D5501E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O prazo de 60 dias concedido pela citada lei ao contribuinte para quitação de seu débito antes do protesto extrajudicial da dívida é um</w:t>
      </w:r>
      <w:r w:rsidR="00737139" w:rsidRPr="00F721CD">
        <w:rPr>
          <w:rFonts w:ascii="Verdana" w:hAnsi="Verdana" w:cs="DejaVu Sans"/>
        </w:rPr>
        <w:t xml:space="preserve"> prazo administrativo,</w:t>
      </w:r>
      <w:r w:rsidRPr="00F721CD">
        <w:rPr>
          <w:rFonts w:ascii="Verdana" w:hAnsi="Verdana" w:cs="DejaVu Sans"/>
        </w:rPr>
        <w:t xml:space="preserve"> ainda em fase de cobrança administrativa, e como tal pode ser alterado conforme a</w:t>
      </w:r>
      <w:r>
        <w:rPr>
          <w:rFonts w:ascii="Verdana" w:hAnsi="Verdana" w:cs="DejaVu Sans"/>
          <w:sz w:val="24"/>
          <w:szCs w:val="24"/>
        </w:rPr>
        <w:t xml:space="preserve"> </w:t>
      </w:r>
      <w:r w:rsidRPr="00F721CD">
        <w:rPr>
          <w:rFonts w:ascii="Verdana" w:hAnsi="Verdana" w:cs="DejaVu Sans"/>
        </w:rPr>
        <w:t>Administração entenda</w:t>
      </w:r>
      <w:proofErr w:type="gramStart"/>
      <w:r w:rsidRPr="00F721CD">
        <w:rPr>
          <w:rFonts w:ascii="Verdana" w:hAnsi="Verdana" w:cs="DejaVu Sans"/>
        </w:rPr>
        <w:t xml:space="preserve">  </w:t>
      </w:r>
      <w:proofErr w:type="gramEnd"/>
      <w:r w:rsidRPr="00F721CD">
        <w:rPr>
          <w:rFonts w:ascii="Verdana" w:hAnsi="Verdana" w:cs="DejaVu Sans"/>
        </w:rPr>
        <w:t>que o mesmo é muito longo, podendo contribuir para a prescrição dos créditos tributários.</w:t>
      </w:r>
      <w:r w:rsidR="00D06330" w:rsidRPr="00F721CD">
        <w:rPr>
          <w:rFonts w:ascii="Verdana" w:hAnsi="Verdana" w:cs="DejaVu Sans"/>
        </w:rPr>
        <w:t xml:space="preserve"> O Projeto de Lei nº 269/2017 propõe uma redução para 15 dias, sendo que a Emenda Modificativa ora analisada altera ta</w:t>
      </w:r>
      <w:r w:rsidR="00737139" w:rsidRPr="00F721CD">
        <w:rPr>
          <w:rFonts w:ascii="Verdana" w:hAnsi="Verdana" w:cs="DejaVu Sans"/>
        </w:rPr>
        <w:t>l prazo para 30 dias, ampliando um pouco mais o prazo para o contribuinte pagar ou parcelar seu débito, solvendo assim sua dívida perante os cofres municipais.</w:t>
      </w:r>
    </w:p>
    <w:p w:rsidR="00737139" w:rsidRPr="00F721CD" w:rsidRDefault="00737139" w:rsidP="00D5501E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 xml:space="preserve">Por se tratar de um prazo administrativo, não vemos óbice a que a Emenda Modificativa em tela siga sua tramitação normal, posto que não </w:t>
      </w:r>
      <w:proofErr w:type="gramStart"/>
      <w:r w:rsidRPr="00F721CD">
        <w:rPr>
          <w:rFonts w:ascii="Verdana" w:hAnsi="Verdana" w:cs="DejaVu Sans"/>
        </w:rPr>
        <w:t>vislumbramos</w:t>
      </w:r>
      <w:proofErr w:type="gramEnd"/>
      <w:r w:rsidRPr="00F721CD">
        <w:rPr>
          <w:rFonts w:ascii="Verdana" w:hAnsi="Verdana" w:cs="DejaVu Sans"/>
        </w:rPr>
        <w:t xml:space="preserve"> impedimento de ordem legal ou mesmo orçamentário que impeça sua apreciação pela Casa Legislativa.</w:t>
      </w:r>
    </w:p>
    <w:p w:rsidR="00D5501E" w:rsidRPr="00F721CD" w:rsidRDefault="00D5501E" w:rsidP="00D5501E">
      <w:pPr>
        <w:ind w:firstLine="2295"/>
        <w:jc w:val="both"/>
        <w:rPr>
          <w:rFonts w:ascii="Verdana" w:hAnsi="Verdana" w:cs="DejaVu Sans"/>
          <w:u w:val="single"/>
        </w:rPr>
      </w:pPr>
      <w:bookmarkStart w:id="1" w:name="_GoBack"/>
      <w:bookmarkEnd w:id="1"/>
      <w:r w:rsidRPr="00F721CD">
        <w:rPr>
          <w:rFonts w:ascii="Verdana" w:hAnsi="Verdana" w:cs="DejaVu Sans"/>
          <w:u w:val="single"/>
        </w:rPr>
        <w:lastRenderedPageBreak/>
        <w:t>Conclusão</w:t>
      </w:r>
    </w:p>
    <w:p w:rsidR="00D5501E" w:rsidRPr="00F721CD" w:rsidRDefault="00D5501E" w:rsidP="00D5501E">
      <w:pPr>
        <w:ind w:firstLine="2295"/>
        <w:jc w:val="both"/>
        <w:rPr>
          <w:rFonts w:ascii="Verdana" w:hAnsi="Verdana" w:cs="DejaVu Sans"/>
          <w:u w:val="single"/>
        </w:rPr>
      </w:pPr>
    </w:p>
    <w:p w:rsidR="00D5501E" w:rsidRPr="00F721CD" w:rsidRDefault="00D5501E" w:rsidP="00D5501E">
      <w:pPr>
        <w:ind w:firstLine="2295"/>
        <w:jc w:val="both"/>
        <w:rPr>
          <w:rFonts w:ascii="Verdana" w:hAnsi="Verdana"/>
        </w:rPr>
      </w:pPr>
      <w:r w:rsidRPr="00F721CD">
        <w:rPr>
          <w:rFonts w:ascii="Verdana" w:hAnsi="Verdana" w:cs="DejaVu Sans"/>
        </w:rPr>
        <w:t xml:space="preserve">Em face do exposto, estes relatores concluem pela juridicidade, legalidade e constitucionalidade, bem como pela adequação financeira e orçamentária </w:t>
      </w:r>
      <w:r w:rsidR="00737139" w:rsidRPr="00F721CD">
        <w:rPr>
          <w:rFonts w:ascii="Verdana" w:hAnsi="Verdana"/>
        </w:rPr>
        <w:t>da Emenda Modificativa nº 01 ao</w:t>
      </w:r>
      <w:proofErr w:type="gramStart"/>
      <w:r w:rsidR="00737139" w:rsidRPr="00F721CD">
        <w:rPr>
          <w:rFonts w:ascii="Verdana" w:hAnsi="Verdana"/>
        </w:rPr>
        <w:t xml:space="preserve"> </w:t>
      </w:r>
      <w:r w:rsidRPr="00F721CD">
        <w:rPr>
          <w:rFonts w:ascii="Verdana" w:hAnsi="Verdana"/>
        </w:rPr>
        <w:t xml:space="preserve"> </w:t>
      </w:r>
      <w:proofErr w:type="gramEnd"/>
      <w:r w:rsidRPr="00F721CD">
        <w:rPr>
          <w:rFonts w:ascii="Verdana" w:hAnsi="Verdana"/>
        </w:rPr>
        <w:t>Projeto de Lei nº 269/2017.</w:t>
      </w:r>
    </w:p>
    <w:p w:rsidR="00D5501E" w:rsidRPr="00F721CD" w:rsidRDefault="00D5501E" w:rsidP="00D5501E">
      <w:pPr>
        <w:ind w:firstLine="2295"/>
        <w:jc w:val="both"/>
        <w:rPr>
          <w:rFonts w:ascii="Verdana" w:hAnsi="Verdana" w:cs="DejaVu Sans"/>
        </w:rPr>
      </w:pPr>
    </w:p>
    <w:p w:rsidR="00D5501E" w:rsidRPr="00F721CD" w:rsidRDefault="00D5501E" w:rsidP="00D5501E">
      <w:pPr>
        <w:ind w:firstLine="2295"/>
        <w:jc w:val="both"/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Sala das Reuniões, 06 de dezembro de 2017.</w:t>
      </w:r>
    </w:p>
    <w:p w:rsidR="00D5501E" w:rsidRPr="00F721CD" w:rsidRDefault="00D5501E" w:rsidP="00D5501E">
      <w:pPr>
        <w:ind w:firstLine="2295"/>
        <w:rPr>
          <w:rFonts w:ascii="Verdana" w:hAnsi="Verdana" w:cs="DejaVu Sans"/>
          <w:b/>
          <w:bCs/>
        </w:rPr>
      </w:pPr>
    </w:p>
    <w:p w:rsidR="00D5501E" w:rsidRPr="00F721CD" w:rsidRDefault="00D5501E" w:rsidP="00D5501E">
      <w:pPr>
        <w:tabs>
          <w:tab w:val="center" w:pos="4252"/>
        </w:tabs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Albertinho José da Fonseca                    Euro de Andrade Lanza</w:t>
      </w:r>
    </w:p>
    <w:p w:rsidR="00D5501E" w:rsidRPr="00F721CD" w:rsidRDefault="00D5501E" w:rsidP="00D5501E">
      <w:pPr>
        <w:tabs>
          <w:tab w:val="left" w:pos="4980"/>
        </w:tabs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Relator-CFFOTC</w:t>
      </w:r>
      <w:r w:rsidRPr="00F721CD">
        <w:rPr>
          <w:rFonts w:ascii="Verdana" w:hAnsi="Verdana" w:cs="DejaVu Sans"/>
        </w:rPr>
        <w:tab/>
        <w:t>Relator-CLJ</w:t>
      </w:r>
    </w:p>
    <w:p w:rsidR="00D5501E" w:rsidRPr="00F721CD" w:rsidRDefault="00D5501E" w:rsidP="00D5501E">
      <w:pPr>
        <w:ind w:firstLine="2295"/>
        <w:rPr>
          <w:rFonts w:ascii="Verdana" w:hAnsi="Verdana" w:cs="DejaVu Sans"/>
        </w:rPr>
      </w:pPr>
    </w:p>
    <w:p w:rsidR="00D5501E" w:rsidRPr="00F721CD" w:rsidRDefault="00D5501E" w:rsidP="00D5501E">
      <w:pPr>
        <w:pStyle w:val="Estilopadro"/>
        <w:ind w:firstLine="2295"/>
        <w:rPr>
          <w:rFonts w:ascii="Verdana" w:hAnsi="Verdana"/>
          <w:sz w:val="22"/>
          <w:szCs w:val="22"/>
          <w:u w:val="single"/>
        </w:rPr>
      </w:pPr>
      <w:r w:rsidRPr="00F721CD">
        <w:rPr>
          <w:rFonts w:ascii="Verdana" w:hAnsi="Verdana" w:cs="DejaVu Sans"/>
          <w:bCs/>
          <w:sz w:val="22"/>
          <w:szCs w:val="22"/>
          <w:u w:val="single"/>
        </w:rPr>
        <w:t>V O T O S</w:t>
      </w:r>
    </w:p>
    <w:p w:rsidR="00D5501E" w:rsidRPr="00F721CD" w:rsidRDefault="00D5501E" w:rsidP="00D5501E">
      <w:pPr>
        <w:pStyle w:val="Estilopadro"/>
        <w:ind w:firstLine="2295"/>
        <w:rPr>
          <w:rFonts w:ascii="Verdana" w:hAnsi="Verdana"/>
          <w:sz w:val="22"/>
          <w:szCs w:val="22"/>
        </w:rPr>
      </w:pPr>
    </w:p>
    <w:p w:rsidR="00D5501E" w:rsidRPr="00F721CD" w:rsidRDefault="00D5501E" w:rsidP="00D5501E">
      <w:pPr>
        <w:pStyle w:val="Estilopadro"/>
        <w:ind w:firstLine="2295"/>
        <w:rPr>
          <w:rFonts w:ascii="Verdana" w:hAnsi="Verdana" w:cs="DejaVu Sans"/>
          <w:bCs/>
          <w:sz w:val="22"/>
          <w:szCs w:val="22"/>
        </w:rPr>
      </w:pPr>
      <w:r w:rsidRPr="00F721CD">
        <w:rPr>
          <w:rFonts w:ascii="Verdana" w:hAnsi="Verdana" w:cs="DejaVu Sans"/>
          <w:bCs/>
          <w:sz w:val="22"/>
          <w:szCs w:val="22"/>
        </w:rPr>
        <w:t>De acordo com o relator.</w:t>
      </w:r>
    </w:p>
    <w:p w:rsidR="00D5501E" w:rsidRPr="00F721CD" w:rsidRDefault="00D5501E" w:rsidP="00D5501E">
      <w:pPr>
        <w:pStyle w:val="Estilopadro"/>
        <w:ind w:firstLine="2295"/>
        <w:rPr>
          <w:rFonts w:ascii="Verdana" w:hAnsi="Verdana" w:cs="DejaVu Sans"/>
          <w:bCs/>
          <w:sz w:val="22"/>
          <w:szCs w:val="22"/>
        </w:rPr>
      </w:pPr>
    </w:p>
    <w:p w:rsidR="00D5501E" w:rsidRPr="00F721CD" w:rsidRDefault="00D5501E" w:rsidP="00D5501E">
      <w:pPr>
        <w:ind w:firstLine="2295"/>
        <w:rPr>
          <w:rFonts w:ascii="Verdana" w:hAnsi="Verdana" w:cs="DejaVu Sans"/>
          <w:b/>
        </w:rPr>
      </w:pPr>
    </w:p>
    <w:p w:rsidR="00D5501E" w:rsidRPr="00F721CD" w:rsidRDefault="00D5501E" w:rsidP="00D5501E">
      <w:pPr>
        <w:rPr>
          <w:rFonts w:ascii="Verdana" w:hAnsi="Verdana" w:cs="DejaVu Sans"/>
          <w:b/>
        </w:rPr>
      </w:pPr>
      <w:r w:rsidRPr="00F721CD">
        <w:rPr>
          <w:rFonts w:ascii="Verdana" w:hAnsi="Verdana" w:cs="DejaVu Sans"/>
          <w:b/>
        </w:rPr>
        <w:t xml:space="preserve">                  COMISSÃO DE LEGISLAÇÃO E JUSTIÇA – CLJ</w:t>
      </w:r>
    </w:p>
    <w:p w:rsidR="00D5501E" w:rsidRPr="00F721CD" w:rsidRDefault="00D5501E" w:rsidP="00D5501E">
      <w:pPr>
        <w:ind w:firstLine="2295"/>
        <w:rPr>
          <w:rFonts w:ascii="Verdana" w:hAnsi="Verdana" w:cs="DejaVu Sans"/>
        </w:rPr>
      </w:pPr>
    </w:p>
    <w:p w:rsidR="00D5501E" w:rsidRPr="00F721CD" w:rsidRDefault="00D5501E" w:rsidP="00D5501E">
      <w:pPr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Marli Aparecida Barbosa                              José Pereira da Silva</w:t>
      </w:r>
    </w:p>
    <w:p w:rsidR="00D5501E" w:rsidRPr="00F721CD" w:rsidRDefault="00D5501E" w:rsidP="00D5501E">
      <w:pPr>
        <w:tabs>
          <w:tab w:val="left" w:pos="5580"/>
        </w:tabs>
        <w:rPr>
          <w:rFonts w:ascii="Verdana" w:hAnsi="Verdana" w:cs="DejaVu Sans"/>
        </w:rPr>
      </w:pPr>
      <w:r w:rsidRPr="00F721CD">
        <w:rPr>
          <w:rFonts w:ascii="Verdana" w:hAnsi="Verdana" w:cs="DejaVu Sans"/>
        </w:rPr>
        <w:t>Presidente/suplente</w:t>
      </w:r>
      <w:r w:rsidRPr="00F721CD">
        <w:rPr>
          <w:rFonts w:ascii="Verdana" w:hAnsi="Verdana" w:cs="DejaVu Sans"/>
        </w:rPr>
        <w:tab/>
        <w:t>Vereador</w:t>
      </w:r>
    </w:p>
    <w:p w:rsidR="00D5501E" w:rsidRPr="00F721CD" w:rsidRDefault="00D5501E" w:rsidP="00D5501E">
      <w:pPr>
        <w:ind w:firstLine="2295"/>
        <w:rPr>
          <w:rFonts w:ascii="Verdana" w:hAnsi="Verdana" w:cs="DejaVu Sans"/>
        </w:rPr>
      </w:pPr>
    </w:p>
    <w:p w:rsidR="00D5501E" w:rsidRPr="00F721CD" w:rsidRDefault="00D5501E" w:rsidP="00D5501E">
      <w:pPr>
        <w:pStyle w:val="Estilopadro"/>
        <w:rPr>
          <w:rFonts w:ascii="Verdana" w:hAnsi="Verdana"/>
          <w:sz w:val="22"/>
          <w:szCs w:val="22"/>
        </w:rPr>
      </w:pPr>
    </w:p>
    <w:p w:rsidR="00D5501E" w:rsidRPr="00F721CD" w:rsidRDefault="00D5501E" w:rsidP="00D5501E">
      <w:pPr>
        <w:pStyle w:val="Estilopadro"/>
        <w:rPr>
          <w:rFonts w:ascii="Verdana" w:hAnsi="Verdana"/>
          <w:b/>
          <w:sz w:val="22"/>
          <w:szCs w:val="22"/>
        </w:rPr>
      </w:pPr>
      <w:r w:rsidRPr="00F721CD">
        <w:rPr>
          <w:rFonts w:ascii="Verdana" w:hAnsi="Verdana"/>
          <w:sz w:val="22"/>
          <w:szCs w:val="22"/>
        </w:rPr>
        <w:t xml:space="preserve">  </w:t>
      </w:r>
      <w:r w:rsidRPr="00F721CD">
        <w:rPr>
          <w:rFonts w:ascii="Verdana" w:hAnsi="Verdana"/>
          <w:b/>
          <w:sz w:val="22"/>
          <w:szCs w:val="22"/>
        </w:rPr>
        <w:t xml:space="preserve">COMISSÃO DE FISCALIZAÇÃO FINANCEIRA, </w:t>
      </w:r>
      <w:proofErr w:type="gramStart"/>
      <w:r w:rsidRPr="00F721CD">
        <w:rPr>
          <w:rFonts w:ascii="Verdana" w:hAnsi="Verdana"/>
          <w:b/>
          <w:sz w:val="22"/>
          <w:szCs w:val="22"/>
        </w:rPr>
        <w:t>ORÇAMENTÁRIA</w:t>
      </w:r>
      <w:proofErr w:type="gramEnd"/>
      <w:r w:rsidRPr="00F721CD">
        <w:rPr>
          <w:rFonts w:ascii="Verdana" w:hAnsi="Verdana"/>
          <w:b/>
          <w:sz w:val="22"/>
          <w:szCs w:val="22"/>
        </w:rPr>
        <w:t xml:space="preserve">                                                       </w:t>
      </w:r>
    </w:p>
    <w:p w:rsidR="00D5501E" w:rsidRPr="00F721CD" w:rsidRDefault="00D5501E" w:rsidP="00D5501E">
      <w:pPr>
        <w:pStyle w:val="Estilopadro"/>
        <w:ind w:firstLine="2295"/>
        <w:rPr>
          <w:rFonts w:ascii="Verdana" w:hAnsi="Verdana"/>
          <w:b/>
          <w:sz w:val="22"/>
          <w:szCs w:val="22"/>
        </w:rPr>
      </w:pPr>
      <w:r w:rsidRPr="00F721CD">
        <w:rPr>
          <w:rFonts w:ascii="Verdana" w:hAnsi="Verdana"/>
          <w:b/>
          <w:sz w:val="22"/>
          <w:szCs w:val="22"/>
        </w:rPr>
        <w:t>E DE TOMADA DE CONTAS-CFFOTC</w:t>
      </w:r>
    </w:p>
    <w:p w:rsidR="00D5501E" w:rsidRPr="00F721CD" w:rsidRDefault="00D5501E" w:rsidP="00D5501E">
      <w:pPr>
        <w:pStyle w:val="Estilopadro"/>
        <w:ind w:firstLine="2295"/>
        <w:rPr>
          <w:rFonts w:ascii="Verdana" w:hAnsi="Verdana"/>
          <w:b/>
          <w:sz w:val="22"/>
          <w:szCs w:val="22"/>
        </w:rPr>
      </w:pPr>
    </w:p>
    <w:p w:rsidR="00D5501E" w:rsidRPr="00F721CD" w:rsidRDefault="00D5501E" w:rsidP="00D5501E">
      <w:pPr>
        <w:pStyle w:val="Estilopadro"/>
        <w:ind w:firstLine="2295"/>
        <w:rPr>
          <w:rFonts w:ascii="Verdana" w:hAnsi="Verdana"/>
          <w:b/>
          <w:sz w:val="22"/>
          <w:szCs w:val="22"/>
        </w:rPr>
      </w:pPr>
    </w:p>
    <w:p w:rsidR="00D5501E" w:rsidRPr="00F721CD" w:rsidRDefault="00D5501E" w:rsidP="00D5501E">
      <w:pPr>
        <w:pStyle w:val="Estilopadro"/>
        <w:ind w:firstLine="2295"/>
        <w:rPr>
          <w:rFonts w:ascii="Verdana" w:hAnsi="Verdana"/>
          <w:b/>
          <w:sz w:val="22"/>
          <w:szCs w:val="22"/>
        </w:rPr>
      </w:pPr>
    </w:p>
    <w:p w:rsidR="00D5501E" w:rsidRPr="00F721CD" w:rsidRDefault="00D5501E" w:rsidP="00D5501E">
      <w:pPr>
        <w:pStyle w:val="Estilopadro"/>
        <w:rPr>
          <w:rFonts w:ascii="Verdana" w:hAnsi="Verdana"/>
          <w:sz w:val="22"/>
          <w:szCs w:val="22"/>
        </w:rPr>
      </w:pPr>
      <w:r w:rsidRPr="00F721CD">
        <w:rPr>
          <w:rFonts w:ascii="Verdana" w:hAnsi="Verdana" w:cs="DejaVu Sans"/>
          <w:sz w:val="22"/>
          <w:szCs w:val="22"/>
        </w:rPr>
        <w:t xml:space="preserve">                                 Milton Maurício Martins                   </w:t>
      </w:r>
    </w:p>
    <w:p w:rsidR="0061686C" w:rsidRPr="00F721CD" w:rsidRDefault="00F721CD" w:rsidP="00D5501E">
      <w:pPr>
        <w:jc w:val="center"/>
        <w:rPr>
          <w:rFonts w:ascii="Verdana" w:hAnsi="Verdana" w:cs="DejaVu Sans"/>
          <w:b/>
          <w:bCs/>
        </w:rPr>
      </w:pPr>
      <w:r w:rsidRPr="00F721CD">
        <w:rPr>
          <w:rFonts w:ascii="Verdana" w:hAnsi="Verdana" w:cs="DejaVu Sans"/>
        </w:rPr>
        <w:t>Presidente</w:t>
      </w:r>
      <w:r w:rsidR="00D5501E" w:rsidRPr="00F721CD">
        <w:rPr>
          <w:rFonts w:ascii="Verdana" w:hAnsi="Verdana" w:cs="DejaVu Sans"/>
        </w:rPr>
        <w:t xml:space="preserve">                                             </w:t>
      </w:r>
    </w:p>
    <w:p w:rsidR="00D5501E" w:rsidRDefault="00D5501E" w:rsidP="0061686C">
      <w:pPr>
        <w:jc w:val="center"/>
        <w:rPr>
          <w:rFonts w:ascii="Verdana" w:hAnsi="Verdana" w:cs="DejaVu Sans"/>
          <w:b/>
          <w:bCs/>
        </w:rPr>
      </w:pPr>
    </w:p>
    <w:p w:rsidR="00D5501E" w:rsidRDefault="00D5501E" w:rsidP="0061686C">
      <w:pPr>
        <w:jc w:val="center"/>
        <w:rPr>
          <w:rFonts w:ascii="Verdana" w:hAnsi="Verdana" w:cs="DejaVu Sans"/>
          <w:b/>
          <w:bCs/>
        </w:rPr>
      </w:pPr>
    </w:p>
    <w:p w:rsidR="00D5501E" w:rsidRDefault="00D5501E" w:rsidP="0061686C">
      <w:pPr>
        <w:jc w:val="center"/>
        <w:rPr>
          <w:rFonts w:ascii="Verdana" w:hAnsi="Verdana" w:cs="DejaVu Sans"/>
          <w:b/>
          <w:bCs/>
        </w:rPr>
      </w:pPr>
    </w:p>
    <w:p w:rsidR="00D5501E" w:rsidRDefault="00D5501E" w:rsidP="0061686C">
      <w:pPr>
        <w:jc w:val="center"/>
        <w:rPr>
          <w:rFonts w:ascii="Verdana" w:hAnsi="Verdana" w:cs="DejaVu Sans"/>
          <w:b/>
          <w:bCs/>
        </w:rPr>
      </w:pPr>
    </w:p>
    <w:p w:rsidR="00D5501E" w:rsidRDefault="00D5501E" w:rsidP="0061686C">
      <w:pPr>
        <w:jc w:val="center"/>
        <w:rPr>
          <w:rFonts w:ascii="Verdana" w:hAnsi="Verdana" w:cs="DejaVu Sans"/>
          <w:b/>
          <w:bCs/>
        </w:rPr>
      </w:pPr>
    </w:p>
    <w:p w:rsidR="00D5501E" w:rsidRPr="00900F9F" w:rsidRDefault="00D5501E" w:rsidP="0061686C">
      <w:pPr>
        <w:jc w:val="center"/>
        <w:rPr>
          <w:rFonts w:ascii="Verdana" w:hAnsi="Verdana" w:cs="DejaVu Sans"/>
          <w:b/>
          <w:bCs/>
        </w:rPr>
      </w:pPr>
    </w:p>
    <w:p w:rsidR="0061686C" w:rsidRDefault="00900F9F" w:rsidP="00D5501E">
      <w:pPr>
        <w:pStyle w:val="NormalWeb"/>
        <w:rPr>
          <w:rFonts w:ascii="Verdana" w:hAnsi="Verdana"/>
          <w:b/>
          <w:sz w:val="32"/>
          <w:szCs w:val="32"/>
        </w:rPr>
      </w:pPr>
      <w:r w:rsidRPr="00900F9F">
        <w:rPr>
          <w:b/>
          <w:color w:val="000000"/>
          <w:sz w:val="27"/>
          <w:szCs w:val="27"/>
        </w:rPr>
        <w:t xml:space="preserve">                   </w:t>
      </w:r>
    </w:p>
    <w:p w:rsidR="0061686C" w:rsidRDefault="0061686C" w:rsidP="00503C94">
      <w:pPr>
        <w:ind w:firstLine="20"/>
        <w:jc w:val="center"/>
        <w:rPr>
          <w:rFonts w:ascii="Verdana" w:hAnsi="Verdana"/>
          <w:b/>
          <w:sz w:val="32"/>
          <w:szCs w:val="32"/>
        </w:rPr>
      </w:pPr>
    </w:p>
    <w:sectPr w:rsidR="006168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27" w:rsidRDefault="00870F27" w:rsidP="00963EEE">
      <w:pPr>
        <w:spacing w:after="0" w:line="240" w:lineRule="auto"/>
      </w:pPr>
      <w:r>
        <w:separator/>
      </w:r>
    </w:p>
  </w:endnote>
  <w:endnote w:type="continuationSeparator" w:id="0">
    <w:p w:rsidR="00870F27" w:rsidRDefault="00870F2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27" w:rsidRDefault="00870F27" w:rsidP="00963EEE">
      <w:pPr>
        <w:spacing w:after="0" w:line="240" w:lineRule="auto"/>
      </w:pPr>
      <w:r>
        <w:separator/>
      </w:r>
    </w:p>
  </w:footnote>
  <w:footnote w:type="continuationSeparator" w:id="0">
    <w:p w:rsidR="00870F27" w:rsidRDefault="00870F2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F09E105" wp14:editId="590A4D9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B4F6C59" wp14:editId="30FC92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10333B"/>
    <w:rsid w:val="00150705"/>
    <w:rsid w:val="00167CCE"/>
    <w:rsid w:val="001C5C0E"/>
    <w:rsid w:val="001D32FA"/>
    <w:rsid w:val="001D53F2"/>
    <w:rsid w:val="00306C5F"/>
    <w:rsid w:val="003A232D"/>
    <w:rsid w:val="003B2EBE"/>
    <w:rsid w:val="003F21EA"/>
    <w:rsid w:val="00405906"/>
    <w:rsid w:val="00452F85"/>
    <w:rsid w:val="00503C94"/>
    <w:rsid w:val="00543298"/>
    <w:rsid w:val="00567006"/>
    <w:rsid w:val="00576CBE"/>
    <w:rsid w:val="00576CDB"/>
    <w:rsid w:val="00596C04"/>
    <w:rsid w:val="005C60D3"/>
    <w:rsid w:val="0061686C"/>
    <w:rsid w:val="006446A1"/>
    <w:rsid w:val="006638AA"/>
    <w:rsid w:val="00680066"/>
    <w:rsid w:val="00690F7F"/>
    <w:rsid w:val="006A65E7"/>
    <w:rsid w:val="006A7259"/>
    <w:rsid w:val="00737139"/>
    <w:rsid w:val="0076454F"/>
    <w:rsid w:val="007A4A26"/>
    <w:rsid w:val="007C2587"/>
    <w:rsid w:val="008541C6"/>
    <w:rsid w:val="00870F27"/>
    <w:rsid w:val="00876C8B"/>
    <w:rsid w:val="0089613A"/>
    <w:rsid w:val="008E4B91"/>
    <w:rsid w:val="008F1DBB"/>
    <w:rsid w:val="00900F9F"/>
    <w:rsid w:val="00963070"/>
    <w:rsid w:val="00963EEE"/>
    <w:rsid w:val="0097039B"/>
    <w:rsid w:val="0098260C"/>
    <w:rsid w:val="009B5AF2"/>
    <w:rsid w:val="009D36A1"/>
    <w:rsid w:val="00A64F68"/>
    <w:rsid w:val="00AB2400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438FF"/>
    <w:rsid w:val="00CB6805"/>
    <w:rsid w:val="00CE36EF"/>
    <w:rsid w:val="00D06330"/>
    <w:rsid w:val="00D5501E"/>
    <w:rsid w:val="00DC1F17"/>
    <w:rsid w:val="00DD1F6B"/>
    <w:rsid w:val="00DE1F0B"/>
    <w:rsid w:val="00E36FB5"/>
    <w:rsid w:val="00E94AF0"/>
    <w:rsid w:val="00EA54D9"/>
    <w:rsid w:val="00EC634B"/>
    <w:rsid w:val="00F22EE6"/>
    <w:rsid w:val="00F310C7"/>
    <w:rsid w:val="00F66591"/>
    <w:rsid w:val="00F721CD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782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2017-12-12T11:47:00Z</cp:lastPrinted>
  <dcterms:created xsi:type="dcterms:W3CDTF">2017-12-12T11:26:00Z</dcterms:created>
  <dcterms:modified xsi:type="dcterms:W3CDTF">2017-12-12T11:52:00Z</dcterms:modified>
</cp:coreProperties>
</file>