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BF" w:rsidRDefault="00BA07BF" w:rsidP="0007592E">
      <w:pPr>
        <w:pStyle w:val="SemEspaamento"/>
      </w:pPr>
      <w:bookmarkStart w:id="0" w:name="_GoBack"/>
      <w:bookmarkEnd w:id="0"/>
      <w:r>
        <w:t xml:space="preserve">PARECER REGIMENTAL </w:t>
      </w:r>
    </w:p>
    <w:p w:rsidR="00BA07BF" w:rsidRDefault="00BA07BF" w:rsidP="00BA07BF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COMISSÃO DE LEGISLAÇÃO E JUSTIÇA-CLJ</w:t>
      </w:r>
    </w:p>
    <w:p w:rsidR="00BA07BF" w:rsidRDefault="00BA07BF" w:rsidP="00BA07BF">
      <w:pPr>
        <w:jc w:val="center"/>
        <w:rPr>
          <w:rFonts w:ascii="Verdana" w:hAnsi="Verdana"/>
          <w:b/>
          <w:bCs/>
        </w:rPr>
      </w:pPr>
    </w:p>
    <w:p w:rsidR="00BA07BF" w:rsidRDefault="00BA07BF" w:rsidP="00BA07BF">
      <w:pPr>
        <w:rPr>
          <w:rFonts w:ascii="Verdana" w:hAnsi="Verdana" w:cs="DejaVu Sans"/>
          <w:b/>
          <w:bCs/>
        </w:rPr>
      </w:pPr>
    </w:p>
    <w:p w:rsidR="00BA07BF" w:rsidRDefault="00BA07BF" w:rsidP="00D12C7A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 xml:space="preserve">MATÉRIA: </w:t>
      </w:r>
      <w:r>
        <w:rPr>
          <w:rFonts w:ascii="Verdana" w:hAnsi="Verdana" w:cs="DejaVu Sans"/>
          <w:bCs/>
        </w:rPr>
        <w:t>Projeto</w:t>
      </w:r>
      <w:r w:rsidR="00D12C7A">
        <w:rPr>
          <w:rFonts w:ascii="Verdana" w:hAnsi="Verdana" w:cs="DejaVu Sans"/>
        </w:rPr>
        <w:t xml:space="preserve"> de Lei nº 103</w:t>
      </w:r>
      <w:r>
        <w:rPr>
          <w:rFonts w:ascii="Verdana" w:hAnsi="Verdana" w:cs="DejaVu Sans"/>
        </w:rPr>
        <w:t>/2017 – “</w:t>
      </w:r>
      <w:r w:rsidR="00D12C7A">
        <w:rPr>
          <w:rFonts w:ascii="Verdana" w:hAnsi="Verdana" w:cs="DejaVu Sans"/>
        </w:rPr>
        <w:t>Fixa procedimentos para reconhecimento da procedência do pedido, dispensa de apresentação de contestação, dispensa de apresentação de recurso e desistência de apresentação de recurso e desistência de recurso pelos procuradores municipais, nas hipóteses previstas nesta lei”.</w:t>
      </w:r>
    </w:p>
    <w:p w:rsidR="00BA07BF" w:rsidRDefault="00BA07BF" w:rsidP="00BA07BF">
      <w:pPr>
        <w:rPr>
          <w:rFonts w:ascii="Liberation Serif" w:hAnsi="Liberation Serif" w:cs="Times New Roman"/>
        </w:rPr>
      </w:pPr>
    </w:p>
    <w:p w:rsidR="00BA07BF" w:rsidRDefault="00BA07BF" w:rsidP="00BA07BF">
      <w:pPr>
        <w:pBdr>
          <w:bottom w:val="single" w:sz="8" w:space="2" w:color="000000"/>
        </w:pBdr>
        <w:rPr>
          <w:rFonts w:ascii="Verdana" w:hAnsi="Verdana" w:cs="DejaVu Sans"/>
        </w:rPr>
      </w:pPr>
      <w:r>
        <w:rPr>
          <w:rFonts w:ascii="Verdana" w:hAnsi="Verdana" w:cs="DejaVu Sans"/>
          <w:b/>
          <w:bCs/>
        </w:rPr>
        <w:t>AUTOR:</w:t>
      </w:r>
      <w:r w:rsidR="00D12C7A">
        <w:rPr>
          <w:rFonts w:ascii="Verdana" w:hAnsi="Verdana" w:cs="DejaVu Sans"/>
        </w:rPr>
        <w:t xml:space="preserve"> Poder Executivo Municipal.</w:t>
      </w:r>
    </w:p>
    <w:p w:rsidR="00BA07BF" w:rsidRDefault="00BA07BF" w:rsidP="00BA07BF">
      <w:pPr>
        <w:pBdr>
          <w:bottom w:val="single" w:sz="8" w:space="2" w:color="000000"/>
        </w:pBdr>
        <w:rPr>
          <w:rFonts w:ascii="Liberation Serif" w:hAnsi="Liberation Serif" w:cs="Times New Roman"/>
        </w:rPr>
      </w:pPr>
    </w:p>
    <w:p w:rsidR="00BA07BF" w:rsidRDefault="00BA07BF" w:rsidP="00BA07BF">
      <w:pPr>
        <w:ind w:firstLine="2295"/>
        <w:jc w:val="both"/>
        <w:rPr>
          <w:rFonts w:ascii="Verdana" w:hAnsi="Verdana" w:cs="DejaVu Sans"/>
          <w:u w:val="single"/>
        </w:rPr>
      </w:pPr>
    </w:p>
    <w:p w:rsidR="00BA07BF" w:rsidRDefault="00BA07BF" w:rsidP="00BA07BF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Relatório</w:t>
      </w:r>
    </w:p>
    <w:p w:rsidR="00BA07BF" w:rsidRDefault="00BA07BF" w:rsidP="00BA07BF">
      <w:pPr>
        <w:ind w:firstLine="2295"/>
        <w:jc w:val="both"/>
        <w:rPr>
          <w:rFonts w:ascii="Verdana" w:hAnsi="Verdana" w:cs="DejaVu Sans"/>
          <w:u w:val="single"/>
        </w:rPr>
      </w:pPr>
    </w:p>
    <w:p w:rsidR="00BA07BF" w:rsidRDefault="00D12C7A" w:rsidP="00BA07B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proposição acima referenciada, cuja iniciativa pertence ao Chefe do Executivo Municipal, objetiva fixar procedimento para o reconhecimento da procedência do pedido, dispensa de apresentação de contestação, dispensa de apresentação de recursos e desistência de recurso pelos procuradores municipais nas hipóteses previstas em lei.</w:t>
      </w:r>
    </w:p>
    <w:p w:rsidR="00BA07BF" w:rsidRDefault="00BA07BF" w:rsidP="00BA07B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BA07BF" w:rsidRDefault="00D12C7A" w:rsidP="00BA07B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O projeto foi distribuído</w:t>
      </w:r>
      <w:r w:rsidR="00BA07BF">
        <w:rPr>
          <w:rFonts w:ascii="Verdana" w:hAnsi="Verdana" w:cs="DejaVu Sans"/>
        </w:rPr>
        <w:t xml:space="preserve"> nesta data a esta Comissão de Leg</w:t>
      </w:r>
      <w:r>
        <w:rPr>
          <w:rFonts w:ascii="Verdana" w:hAnsi="Verdana" w:cs="DejaVu Sans"/>
        </w:rPr>
        <w:t xml:space="preserve">islação e </w:t>
      </w:r>
      <w:r w:rsidR="00F537E3">
        <w:rPr>
          <w:rFonts w:ascii="Verdana" w:hAnsi="Verdana" w:cs="DejaVu Sans"/>
        </w:rPr>
        <w:t>Justiça para receber</w:t>
      </w:r>
      <w:r w:rsidR="00BA07BF">
        <w:rPr>
          <w:rFonts w:ascii="Verdana" w:hAnsi="Verdana" w:cs="DejaVu Sans"/>
        </w:rPr>
        <w:t xml:space="preserve"> parecer quanto aos aspectos de sua juridicidade, constitucionalidade e legalidade, nos termos do disposto no art. 169 c/c art. 69 e § 1º do art. 83 do Regimento Interno.</w:t>
      </w:r>
    </w:p>
    <w:p w:rsidR="00BA07BF" w:rsidRDefault="00BA07BF" w:rsidP="00BA07B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BA07BF" w:rsidRDefault="00BA07BF" w:rsidP="00BA07B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 Fabrício Augusto Carvalho do Nascimento (presidente) e o Vereador Euro de Andrade Lanza (relator), sendo registrada a ausência do Vereador José Pereira da Silva. Presentes também membros da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>Procuradoria Geral do Legislativo, Assessores de Gabinetes e munícipes.</w:t>
      </w:r>
    </w:p>
    <w:p w:rsidR="00BA07BF" w:rsidRDefault="00BA07BF" w:rsidP="00BA07B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BA07BF" w:rsidRDefault="00BA07BF" w:rsidP="00BA07BF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</w:p>
    <w:p w:rsidR="00BA07BF" w:rsidRDefault="00BA07BF" w:rsidP="00BA07BF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</w:p>
    <w:p w:rsidR="00D12C7A" w:rsidRDefault="00D12C7A" w:rsidP="00BA07BF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</w:p>
    <w:p w:rsidR="00BA07BF" w:rsidRDefault="00BA07BF" w:rsidP="00BA07BF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lastRenderedPageBreak/>
        <w:t>Fundamentação</w:t>
      </w:r>
    </w:p>
    <w:p w:rsidR="00BA07BF" w:rsidRDefault="00BA07BF" w:rsidP="00BA07BF">
      <w:pPr>
        <w:tabs>
          <w:tab w:val="left" w:pos="5580"/>
        </w:tabs>
        <w:ind w:firstLine="2295"/>
        <w:jc w:val="both"/>
        <w:rPr>
          <w:rFonts w:ascii="Verdana" w:hAnsi="Verdana" w:cs="DejaVu Sans"/>
          <w:u w:val="single"/>
        </w:rPr>
      </w:pPr>
    </w:p>
    <w:p w:rsidR="00BA07BF" w:rsidRDefault="00BA07BF" w:rsidP="00BA07B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Feitos os esclarecimentos de ordem técnica pela Procuradoria Geral do</w:t>
      </w:r>
      <w:r w:rsidR="00F537E3">
        <w:rPr>
          <w:rFonts w:ascii="Verdana" w:hAnsi="Verdana" w:cs="DejaVu Sans"/>
        </w:rPr>
        <w:t xml:space="preserve"> Legislativo, após discussão da matéria</w:t>
      </w:r>
      <w:r>
        <w:rPr>
          <w:rFonts w:ascii="Verdana" w:hAnsi="Verdana" w:cs="DejaVu Sans"/>
        </w:rPr>
        <w:t xml:space="preserve"> pelos membros da CLJ passo a relatar o que se segue.</w:t>
      </w:r>
    </w:p>
    <w:p w:rsidR="00D12C7A" w:rsidRDefault="00D12C7A" w:rsidP="00BA07B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obrigatoriedade de os advogados públicos de contestar as ações judiciais e de recorrer d</w:t>
      </w:r>
      <w:r w:rsidR="00F537E3">
        <w:rPr>
          <w:rFonts w:ascii="Verdana" w:hAnsi="Verdana" w:cs="DejaVu Sans"/>
        </w:rPr>
        <w:t xml:space="preserve">e decisões contrárias ao Poder </w:t>
      </w:r>
      <w:r>
        <w:rPr>
          <w:rFonts w:ascii="Verdana" w:hAnsi="Verdana" w:cs="DejaVu Sans"/>
        </w:rPr>
        <w:t>Público é fundamentada na indisponibilidade do interesse público. Além disso, os procuradores municipais, tal como todos os agentes p</w:t>
      </w:r>
      <w:r w:rsidR="000A4C42">
        <w:rPr>
          <w:rFonts w:ascii="Verdana" w:hAnsi="Verdana" w:cs="DejaVu Sans"/>
        </w:rPr>
        <w:t>úblicos, têm seus atos pautados pelo princípio da legalidade, previsto no art. 37, caput, da Constituição da República, de modo que só podem agir e só podem dispor do interesse público nos termos da lei.</w:t>
      </w:r>
    </w:p>
    <w:p w:rsidR="000A4C42" w:rsidRDefault="000A4C42" w:rsidP="00BA07B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Assim, não faz sentido e nem é adequado a nossa ordem constitucional que os advogados públicos protelem ações judiciais, apresentem recursos sem chance de sucesso ou deixem de reconhecer direitos dos cidadãos já consagrados pelo Poder Judiciário.</w:t>
      </w:r>
    </w:p>
    <w:p w:rsidR="000A4C42" w:rsidRDefault="000A4C42" w:rsidP="00BA07B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Cabe ainda ressaltar que </w:t>
      </w:r>
      <w:proofErr w:type="gramStart"/>
      <w:r>
        <w:rPr>
          <w:rFonts w:ascii="Verdana" w:hAnsi="Verdana" w:cs="DejaVu Sans"/>
        </w:rPr>
        <w:t>grande parte das ações em curso no Poder Judiciário envolvem</w:t>
      </w:r>
      <w:proofErr w:type="gramEnd"/>
      <w:r>
        <w:rPr>
          <w:rFonts w:ascii="Verdana" w:hAnsi="Verdana" w:cs="DejaVu Sans"/>
        </w:rPr>
        <w:t xml:space="preserve"> o Estado. Sendo assim, a apresentação de contestações e recursos em ações em que o direito pleiteado já foi pacificamente reconhecido por decisões judiciais ou em que já existe entendimento pacificado contrário à posição do Poder Público Municipal é medida ineficiente que</w:t>
      </w:r>
      <w:r w:rsidR="0038564C">
        <w:rPr>
          <w:rFonts w:ascii="Verdana" w:hAnsi="Verdana" w:cs="DejaVu Sans"/>
        </w:rPr>
        <w:t xml:space="preserve"> </w:t>
      </w:r>
      <w:r>
        <w:rPr>
          <w:rFonts w:ascii="Verdana" w:hAnsi="Verdana" w:cs="DejaVu Sans"/>
        </w:rPr>
        <w:t>apenas abarrotará as procuradorias e os</w:t>
      </w:r>
      <w:r w:rsidR="0038564C">
        <w:rPr>
          <w:rFonts w:ascii="Verdana" w:hAnsi="Verdana" w:cs="DejaVu Sans"/>
        </w:rPr>
        <w:t xml:space="preserve"> </w:t>
      </w:r>
      <w:r>
        <w:rPr>
          <w:rFonts w:ascii="Verdana" w:hAnsi="Verdana" w:cs="DejaVu Sans"/>
        </w:rPr>
        <w:t>Tribunais c</w:t>
      </w:r>
      <w:r w:rsidR="00DD2297">
        <w:rPr>
          <w:rFonts w:ascii="Verdana" w:hAnsi="Verdana" w:cs="DejaVu Sans"/>
        </w:rPr>
        <w:t>om demandas que não terão êxito.</w:t>
      </w:r>
    </w:p>
    <w:p w:rsidR="000A4C42" w:rsidRDefault="000A4C42" w:rsidP="00BA07B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Por esses motivos é razoável e compatível com o princípio da eficiência administrativa, também revisto no artigo 37, caput, da Constituição Federal</w:t>
      </w:r>
      <w:r w:rsidR="00DD2297">
        <w:rPr>
          <w:rFonts w:ascii="Verdana" w:hAnsi="Verdana" w:cs="DejaVu Sans"/>
        </w:rPr>
        <w:t>,</w:t>
      </w:r>
      <w:r>
        <w:rPr>
          <w:rFonts w:ascii="Verdana" w:hAnsi="Verdana" w:cs="DejaVu Sans"/>
        </w:rPr>
        <w:t xml:space="preserve"> que os advogados públicos deixem de contestar e recorrer em casos em que não há</w:t>
      </w:r>
      <w:r w:rsidR="0038564C">
        <w:rPr>
          <w:rFonts w:ascii="Verdana" w:hAnsi="Verdana" w:cs="DejaVu Sans"/>
        </w:rPr>
        <w:t xml:space="preserve"> </w:t>
      </w:r>
      <w:r>
        <w:rPr>
          <w:rFonts w:ascii="Verdana" w:hAnsi="Verdana" w:cs="DejaVu Sans"/>
        </w:rPr>
        <w:t>chance de sucesso</w:t>
      </w:r>
      <w:r w:rsidR="0038564C">
        <w:rPr>
          <w:rFonts w:ascii="Verdana" w:hAnsi="Verdana" w:cs="DejaVu Sans"/>
        </w:rPr>
        <w:t xml:space="preserve"> </w:t>
      </w:r>
      <w:r>
        <w:rPr>
          <w:rFonts w:ascii="Verdana" w:hAnsi="Verdana" w:cs="DejaVu Sans"/>
        </w:rPr>
        <w:t>para o Poder Público.</w:t>
      </w:r>
    </w:p>
    <w:p w:rsidR="000A4C42" w:rsidRDefault="000A4C42" w:rsidP="00BA07B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Por força do princípio da legalidade, entretanto, as situações em que</w:t>
      </w:r>
      <w:r w:rsidR="00DD2297">
        <w:rPr>
          <w:rFonts w:ascii="Verdana" w:hAnsi="Verdana" w:cs="DejaVu Sans"/>
        </w:rPr>
        <w:t xml:space="preserve"> </w:t>
      </w:r>
      <w:r>
        <w:rPr>
          <w:rFonts w:ascii="Verdana" w:hAnsi="Verdana" w:cs="DejaVu Sans"/>
        </w:rPr>
        <w:t>os advogados públicos podem deixar de recorrer devem ser previstas em lei, como se pretende com a presente proposição.</w:t>
      </w:r>
    </w:p>
    <w:p w:rsidR="000A4C42" w:rsidRDefault="0038564C" w:rsidP="00BA07BF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</w:t>
      </w:r>
      <w:r w:rsidR="00DD2297">
        <w:rPr>
          <w:rFonts w:ascii="Verdana" w:hAnsi="Verdana" w:cs="DejaVu Sans"/>
        </w:rPr>
        <w:t xml:space="preserve"> Uni</w:t>
      </w:r>
      <w:r>
        <w:rPr>
          <w:rFonts w:ascii="Verdana" w:hAnsi="Verdana" w:cs="DejaVu Sans"/>
        </w:rPr>
        <w:t>ão, por exemplo, editou leis que deixam a critério das procuradorias, por meio de ato administrativo, a estipulação das situações em que é obrigatório ou não recorrer de decisões judiciais. É correto que o tema seja tra</w:t>
      </w:r>
      <w:r w:rsidR="00DD2297">
        <w:rPr>
          <w:rFonts w:ascii="Verdana" w:hAnsi="Verdana" w:cs="DejaVu Sans"/>
        </w:rPr>
        <w:t xml:space="preserve">tado em lei, como almeja o </w:t>
      </w:r>
      <w:proofErr w:type="spellStart"/>
      <w:proofErr w:type="gramStart"/>
      <w:r w:rsidR="00DD2297">
        <w:rPr>
          <w:rFonts w:ascii="Verdana" w:hAnsi="Verdana" w:cs="DejaVu Sans"/>
        </w:rPr>
        <w:t>sr.</w:t>
      </w:r>
      <w:proofErr w:type="spellEnd"/>
      <w:proofErr w:type="gramEnd"/>
      <w:r w:rsidR="00DD2297">
        <w:rPr>
          <w:rFonts w:ascii="Verdana" w:hAnsi="Verdana" w:cs="DejaVu Sans"/>
        </w:rPr>
        <w:t xml:space="preserve"> P</w:t>
      </w:r>
      <w:r>
        <w:rPr>
          <w:rFonts w:ascii="Verdana" w:hAnsi="Verdana" w:cs="DejaVu Sans"/>
        </w:rPr>
        <w:t>refeito Municipal por meio da proposição sob comento.</w:t>
      </w:r>
    </w:p>
    <w:p w:rsidR="00D12C7A" w:rsidRDefault="0038564C" w:rsidP="00BA07BF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</w:rPr>
        <w:t xml:space="preserve">O presente projeto de lei estabelece hipóteses em que os procuradores do Município não são obrigados a contestar ações ou a recorrer de decisões judiciais. Essa iniciativa é louvável e perfeitamente legal e constitucional pelas razões já expostas. Em especial porque, nos termos da proposta legislativa, os procuradores municipais só não terão a obrigação de contestar ou recorrer quando a matéria em questão já tiver </w:t>
      </w:r>
      <w:r>
        <w:rPr>
          <w:rFonts w:ascii="Verdana" w:hAnsi="Verdana" w:cs="DejaVu Sans"/>
        </w:rPr>
        <w:lastRenderedPageBreak/>
        <w:t>sido pacificada nos Tribunais e não houver chance de sucesso da Administração Pública.</w:t>
      </w:r>
    </w:p>
    <w:p w:rsidR="00D12C7A" w:rsidRDefault="00D12C7A" w:rsidP="00BA07BF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</w:p>
    <w:p w:rsidR="00BA07BF" w:rsidRDefault="00BA07BF" w:rsidP="00BA07BF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  <w:r>
        <w:rPr>
          <w:rFonts w:ascii="Verdana" w:hAnsi="Verdana" w:cs="DejaVu Sans"/>
          <w:sz w:val="24"/>
          <w:szCs w:val="24"/>
          <w:u w:val="single"/>
        </w:rPr>
        <w:t>Conclusão</w:t>
      </w:r>
    </w:p>
    <w:p w:rsidR="00BA07BF" w:rsidRDefault="00BA07BF" w:rsidP="00BA07BF">
      <w:pPr>
        <w:ind w:firstLine="2295"/>
        <w:jc w:val="both"/>
        <w:rPr>
          <w:rFonts w:ascii="Verdana" w:hAnsi="Verdana" w:cs="DejaVu Sans"/>
          <w:sz w:val="24"/>
          <w:szCs w:val="24"/>
          <w:u w:val="single"/>
        </w:rPr>
      </w:pPr>
    </w:p>
    <w:p w:rsidR="00BA07BF" w:rsidRDefault="00BA07BF" w:rsidP="00BA07BF">
      <w:pPr>
        <w:ind w:firstLine="2295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Em face do exposto, este relator conclui </w:t>
      </w:r>
      <w:r w:rsidR="0038564C">
        <w:rPr>
          <w:rFonts w:ascii="Verdana" w:hAnsi="Verdana" w:cs="DejaVu Sans"/>
          <w:sz w:val="24"/>
          <w:szCs w:val="24"/>
        </w:rPr>
        <w:t>que o Projeto de Lei nº 103/2017 em análise é legal e con</w:t>
      </w:r>
      <w:r w:rsidR="00DD2297">
        <w:rPr>
          <w:rFonts w:ascii="Verdana" w:hAnsi="Verdana" w:cs="DejaVu Sans"/>
          <w:sz w:val="24"/>
          <w:szCs w:val="24"/>
        </w:rPr>
        <w:t>stitucional e merece p</w:t>
      </w:r>
      <w:r w:rsidR="0038564C">
        <w:rPr>
          <w:rFonts w:ascii="Verdana" w:hAnsi="Verdana" w:cs="DejaVu Sans"/>
          <w:sz w:val="24"/>
          <w:szCs w:val="24"/>
        </w:rPr>
        <w:t>rosperar.</w:t>
      </w:r>
    </w:p>
    <w:p w:rsidR="00BA07BF" w:rsidRDefault="00BA07BF" w:rsidP="00BA07BF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:rsidR="00BA07BF" w:rsidRDefault="00BA07BF" w:rsidP="00BA07BF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Sala das Reuniões, 05 de setembro de 2017.</w:t>
      </w:r>
    </w:p>
    <w:p w:rsidR="00BA07BF" w:rsidRDefault="00BA07BF" w:rsidP="00BA07BF">
      <w:pPr>
        <w:ind w:firstLine="2295"/>
        <w:rPr>
          <w:rFonts w:ascii="Verdana" w:hAnsi="Verdana" w:cs="DejaVu Sans"/>
          <w:sz w:val="24"/>
          <w:szCs w:val="24"/>
        </w:rPr>
      </w:pPr>
    </w:p>
    <w:p w:rsidR="00BA07BF" w:rsidRDefault="00BA07BF" w:rsidP="00BA07BF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Euro de Andrade Lanza</w:t>
      </w:r>
    </w:p>
    <w:p w:rsidR="00BA07BF" w:rsidRDefault="00BA07BF" w:rsidP="00BA07BF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Relator</w:t>
      </w:r>
    </w:p>
    <w:p w:rsidR="00BA07BF" w:rsidRDefault="00BA07BF" w:rsidP="00BA07BF">
      <w:pPr>
        <w:ind w:firstLine="2295"/>
        <w:rPr>
          <w:rFonts w:ascii="Verdana" w:hAnsi="Verdana" w:cs="DejaVu Sans"/>
          <w:sz w:val="24"/>
          <w:szCs w:val="24"/>
          <w:u w:val="single"/>
        </w:rPr>
      </w:pPr>
    </w:p>
    <w:p w:rsidR="00BA07BF" w:rsidRDefault="00BA07BF" w:rsidP="00BA07BF">
      <w:pPr>
        <w:ind w:firstLine="2295"/>
        <w:rPr>
          <w:rFonts w:ascii="Verdana" w:hAnsi="Verdana" w:cs="DejaVu Sans"/>
          <w:b/>
          <w:sz w:val="24"/>
          <w:szCs w:val="24"/>
          <w:u w:val="single"/>
        </w:rPr>
      </w:pPr>
      <w:r>
        <w:rPr>
          <w:rFonts w:ascii="Verdana" w:hAnsi="Verdana" w:cs="DejaVu Sans"/>
          <w:b/>
          <w:sz w:val="24"/>
          <w:szCs w:val="24"/>
          <w:u w:val="single"/>
        </w:rPr>
        <w:t>V O T O S</w:t>
      </w:r>
    </w:p>
    <w:p w:rsidR="00BA07BF" w:rsidRDefault="00BA07BF" w:rsidP="00BA07BF">
      <w:pPr>
        <w:ind w:firstLine="2295"/>
        <w:rPr>
          <w:rFonts w:ascii="Verdana" w:hAnsi="Verdana" w:cs="DejaVu Sans"/>
          <w:sz w:val="24"/>
          <w:szCs w:val="24"/>
        </w:rPr>
      </w:pPr>
    </w:p>
    <w:p w:rsidR="00BA07BF" w:rsidRDefault="00BA07BF" w:rsidP="00BA07BF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De acordo com o relator.</w:t>
      </w:r>
    </w:p>
    <w:p w:rsidR="00BA07BF" w:rsidRDefault="00BA07BF" w:rsidP="00BA07BF">
      <w:pPr>
        <w:ind w:firstLine="2295"/>
        <w:rPr>
          <w:rFonts w:ascii="Verdana" w:hAnsi="Verdana" w:cs="DejaVu Sans"/>
          <w:sz w:val="24"/>
          <w:szCs w:val="24"/>
        </w:rPr>
      </w:pPr>
    </w:p>
    <w:p w:rsidR="00BA07BF" w:rsidRDefault="00BA07BF" w:rsidP="00BA07BF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Fabrício Augusto Carvalho do Nascimento</w:t>
      </w:r>
    </w:p>
    <w:p w:rsidR="00BA07BF" w:rsidRDefault="00BA07BF" w:rsidP="00BA07BF">
      <w:pPr>
        <w:ind w:firstLine="2295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Presidente</w:t>
      </w:r>
    </w:p>
    <w:p w:rsidR="00BA07BF" w:rsidRDefault="00BA07BF" w:rsidP="00EA54D9">
      <w:pPr>
        <w:rPr>
          <w:b/>
        </w:rPr>
      </w:pPr>
    </w:p>
    <w:p w:rsidR="00BA07BF" w:rsidRDefault="00BA07BF" w:rsidP="00EA54D9">
      <w:pPr>
        <w:rPr>
          <w:b/>
        </w:rPr>
      </w:pPr>
    </w:p>
    <w:p w:rsidR="00BA07BF" w:rsidRDefault="00BA07BF" w:rsidP="00EA54D9">
      <w:pPr>
        <w:rPr>
          <w:b/>
        </w:rPr>
      </w:pPr>
    </w:p>
    <w:p w:rsidR="00EA54D9" w:rsidRDefault="00EA54D9" w:rsidP="003A232D">
      <w:pPr>
        <w:ind w:firstLine="20"/>
        <w:jc w:val="center"/>
        <w:rPr>
          <w:rFonts w:ascii="Verdana" w:hAnsi="Verdana"/>
        </w:rPr>
      </w:pPr>
    </w:p>
    <w:sectPr w:rsidR="00EA54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FA8" w:rsidRDefault="00040FA8" w:rsidP="00963EEE">
      <w:pPr>
        <w:spacing w:after="0" w:line="240" w:lineRule="auto"/>
      </w:pPr>
      <w:r>
        <w:separator/>
      </w:r>
    </w:p>
  </w:endnote>
  <w:endnote w:type="continuationSeparator" w:id="0">
    <w:p w:rsidR="00040FA8" w:rsidRDefault="00040FA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FA8" w:rsidRDefault="00040FA8" w:rsidP="00963EEE">
      <w:pPr>
        <w:spacing w:after="0" w:line="240" w:lineRule="auto"/>
      </w:pPr>
      <w:r>
        <w:separator/>
      </w:r>
    </w:p>
  </w:footnote>
  <w:footnote w:type="continuationSeparator" w:id="0">
    <w:p w:rsidR="00040FA8" w:rsidRDefault="00040FA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67F9A0E" wp14:editId="7845E66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CA5A72F" wp14:editId="6A0B89E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0FA8"/>
    <w:rsid w:val="0007592E"/>
    <w:rsid w:val="000A4C42"/>
    <w:rsid w:val="000B6529"/>
    <w:rsid w:val="0010333B"/>
    <w:rsid w:val="00150705"/>
    <w:rsid w:val="00167CCE"/>
    <w:rsid w:val="001D53F2"/>
    <w:rsid w:val="0038564C"/>
    <w:rsid w:val="003A232D"/>
    <w:rsid w:val="003B2EBE"/>
    <w:rsid w:val="003F21EA"/>
    <w:rsid w:val="00405906"/>
    <w:rsid w:val="00452F85"/>
    <w:rsid w:val="00543298"/>
    <w:rsid w:val="00567006"/>
    <w:rsid w:val="00576CBE"/>
    <w:rsid w:val="00576CDB"/>
    <w:rsid w:val="006638AA"/>
    <w:rsid w:val="00680066"/>
    <w:rsid w:val="006A65E7"/>
    <w:rsid w:val="006A7259"/>
    <w:rsid w:val="0076454F"/>
    <w:rsid w:val="007C2587"/>
    <w:rsid w:val="008541C6"/>
    <w:rsid w:val="0089613A"/>
    <w:rsid w:val="008E4B91"/>
    <w:rsid w:val="00963070"/>
    <w:rsid w:val="00963EEE"/>
    <w:rsid w:val="0097039B"/>
    <w:rsid w:val="0098260C"/>
    <w:rsid w:val="009B5AF2"/>
    <w:rsid w:val="009D36A1"/>
    <w:rsid w:val="00A64F68"/>
    <w:rsid w:val="00AB2400"/>
    <w:rsid w:val="00B22A24"/>
    <w:rsid w:val="00B4456F"/>
    <w:rsid w:val="00BA04C9"/>
    <w:rsid w:val="00BA07BF"/>
    <w:rsid w:val="00BC2CFC"/>
    <w:rsid w:val="00BE526B"/>
    <w:rsid w:val="00BF655E"/>
    <w:rsid w:val="00C0158E"/>
    <w:rsid w:val="00C23830"/>
    <w:rsid w:val="00C438FF"/>
    <w:rsid w:val="00CB6805"/>
    <w:rsid w:val="00CE36EF"/>
    <w:rsid w:val="00D12C7A"/>
    <w:rsid w:val="00DC1F17"/>
    <w:rsid w:val="00DD1F6B"/>
    <w:rsid w:val="00DD2297"/>
    <w:rsid w:val="00DE1F0B"/>
    <w:rsid w:val="00E36FB5"/>
    <w:rsid w:val="00E94AF0"/>
    <w:rsid w:val="00EA54D9"/>
    <w:rsid w:val="00EC634B"/>
    <w:rsid w:val="00F22EE6"/>
    <w:rsid w:val="00F310C7"/>
    <w:rsid w:val="00F537E3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SemEspaamento">
    <w:name w:val="No Spacing"/>
    <w:uiPriority w:val="1"/>
    <w:qFormat/>
    <w:rsid w:val="000759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SemEspaamento">
    <w:name w:val="No Spacing"/>
    <w:uiPriority w:val="1"/>
    <w:qFormat/>
    <w:rsid w:val="000759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2017-09-06T16:55:00Z</cp:lastPrinted>
  <dcterms:created xsi:type="dcterms:W3CDTF">2017-09-12T13:21:00Z</dcterms:created>
  <dcterms:modified xsi:type="dcterms:W3CDTF">2017-09-12T13:21:00Z</dcterms:modified>
</cp:coreProperties>
</file>