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4E0984">
        <w:rPr>
          <w:b/>
          <w:bCs/>
          <w:sz w:val="24"/>
          <w:szCs w:val="24"/>
        </w:rPr>
        <w:t>ÉRIA: ANTEPROJETO DE LEI</w:t>
      </w:r>
      <w:proofErr w:type="gramStart"/>
      <w:r w:rsidR="004E0984">
        <w:rPr>
          <w:b/>
          <w:bCs/>
          <w:sz w:val="24"/>
          <w:szCs w:val="24"/>
        </w:rPr>
        <w:t xml:space="preserve">  </w:t>
      </w:r>
      <w:proofErr w:type="gramEnd"/>
      <w:r w:rsidR="004E0984">
        <w:rPr>
          <w:b/>
          <w:bCs/>
          <w:sz w:val="24"/>
          <w:szCs w:val="24"/>
        </w:rPr>
        <w:t>Nº 092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>–</w:t>
      </w:r>
      <w:r w:rsidR="002C6F70">
        <w:rPr>
          <w:sz w:val="24"/>
          <w:szCs w:val="24"/>
        </w:rPr>
        <w:t xml:space="preserve"> </w:t>
      </w:r>
      <w:r w:rsidR="000F31F7">
        <w:rPr>
          <w:sz w:val="24"/>
          <w:szCs w:val="24"/>
        </w:rPr>
        <w:t xml:space="preserve"> </w:t>
      </w:r>
      <w:r w:rsidR="004E0984">
        <w:rPr>
          <w:sz w:val="24"/>
          <w:szCs w:val="24"/>
        </w:rPr>
        <w:t>ASSEGURA A APLICAÇÃO DE RECURSOS VINCULADOS A ÁREA CULTURAL COM O PÚBLICO IDOSO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proofErr w:type="gramStart"/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2C6F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C6F70">
        <w:rPr>
          <w:rFonts w:ascii="Times New Roman" w:hAnsi="Times New Roman" w:cs="Times New Roman"/>
          <w:sz w:val="24"/>
          <w:szCs w:val="24"/>
        </w:rPr>
        <w:t>FABRÍCIO AUGUSTO CARVALHO DO NASCIMENTO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4E0984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092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2409B">
        <w:rPr>
          <w:sz w:val="28"/>
          <w:szCs w:val="28"/>
        </w:rPr>
        <w:t xml:space="preserve"> </w:t>
      </w:r>
      <w:r>
        <w:rPr>
          <w:sz w:val="24"/>
          <w:szCs w:val="24"/>
        </w:rPr>
        <w:t>ASSEGURA A APLICAÇÃO DE RECURSOS VINCULADOS A ÁREA CULTURAL COM O PÚBLICO IDOSO</w:t>
      </w:r>
      <w:r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596972">
        <w:rPr>
          <w:sz w:val="28"/>
          <w:szCs w:val="28"/>
        </w:rPr>
        <w:t xml:space="preserve"> </w:t>
      </w:r>
      <w:r w:rsidR="002C6F70">
        <w:rPr>
          <w:sz w:val="28"/>
          <w:szCs w:val="28"/>
        </w:rPr>
        <w:t>Fabrício Augusto Carvalho do Nascimento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 w:rsidR="002C6F70">
        <w:rPr>
          <w:sz w:val="28"/>
          <w:szCs w:val="28"/>
        </w:rPr>
        <w:t>a, e</w:t>
      </w:r>
      <w:r w:rsidR="00596972">
        <w:rPr>
          <w:sz w:val="28"/>
          <w:szCs w:val="28"/>
        </w:rPr>
        <w:t>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4E0984" w:rsidRPr="008C7DE1" w:rsidRDefault="004E0984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E0984">
        <w:rPr>
          <w:sz w:val="24"/>
          <w:szCs w:val="24"/>
        </w:rPr>
        <w:t>092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2C6F70">
        <w:rPr>
          <w:sz w:val="24"/>
          <w:szCs w:val="24"/>
        </w:rPr>
        <w:t>ERE</w:t>
      </w:r>
      <w:r w:rsidR="00596972">
        <w:rPr>
          <w:sz w:val="24"/>
          <w:szCs w:val="24"/>
        </w:rPr>
        <w:t>ADOR</w:t>
      </w:r>
      <w:r w:rsidR="002C6F70">
        <w:rPr>
          <w:sz w:val="24"/>
          <w:szCs w:val="24"/>
        </w:rPr>
        <w:t xml:space="preserve"> FABRÍCIO AUGUSTO CARVALHO DO NASCIMENTO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Default="007051D7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92409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</w:p>
    <w:p w:rsidR="00596972" w:rsidRDefault="00596972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0984" w:rsidRPr="00D457CA" w:rsidRDefault="004E0984" w:rsidP="004E0984">
      <w:pPr>
        <w:ind w:left="3544"/>
        <w:jc w:val="both"/>
        <w:rPr>
          <w:rFonts w:ascii="Times New Roman" w:eastAsia="Times New Roman" w:hAnsi="Times New Roman"/>
          <w:b/>
        </w:rPr>
      </w:pPr>
      <w:r w:rsidRPr="00D457CA">
        <w:rPr>
          <w:rFonts w:ascii="Times New Roman" w:hAnsi="Times New Roman"/>
          <w:b/>
        </w:rPr>
        <w:t xml:space="preserve">ASSEGURA </w:t>
      </w:r>
      <w:r>
        <w:rPr>
          <w:rFonts w:ascii="Times New Roman" w:hAnsi="Times New Roman"/>
          <w:b/>
        </w:rPr>
        <w:t>A APLICAÇÃO DE RECURSOS VINCULADOS A ÁREA CULTURAL COM O PÚBLICO IDOSO</w:t>
      </w:r>
      <w:r w:rsidRPr="00D457CA">
        <w:rPr>
          <w:rFonts w:ascii="Times New Roman" w:eastAsia="Times New Roman" w:hAnsi="Times New Roman"/>
          <w:b/>
          <w:bCs/>
        </w:rPr>
        <w:t>.</w:t>
      </w:r>
    </w:p>
    <w:p w:rsidR="004E0984" w:rsidRDefault="004E0984" w:rsidP="004E0984">
      <w:pPr>
        <w:jc w:val="both"/>
        <w:rPr>
          <w:rFonts w:ascii="Times New Roman" w:eastAsia="Times New Roman" w:hAnsi="Times New Roman"/>
        </w:rPr>
      </w:pP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1º Fica assegurado </w:t>
      </w:r>
      <w:r>
        <w:rPr>
          <w:rFonts w:ascii="Times New Roman" w:hAnsi="Times New Roman"/>
        </w:rPr>
        <w:t>que, o Poder Público Municipal através do seu Órgão competente deverá aplicar, obrigatoriamente, 10% (dez por cento) de seus recursos vinculados à área cultural com o público idoso.</w:t>
      </w: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</w:p>
    <w:p w:rsidR="004E0984" w:rsidRDefault="004E0984" w:rsidP="004E0984">
      <w:pPr>
        <w:ind w:firstLine="2410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2° </w:t>
      </w:r>
      <w:r>
        <w:rPr>
          <w:rFonts w:ascii="Times New Roman" w:hAnsi="Times New Roman"/>
        </w:rPr>
        <w:t>Anualmente o Conselho Municipal dos Direitos da Pessoa Idosa promoverá chamamento público da classe em questão, a fim de debater e definir os programas, projetos, ações e serviços a qual os recursos serão aplicados</w:t>
      </w:r>
      <w:r w:rsidRPr="00D457CA">
        <w:rPr>
          <w:rFonts w:ascii="Times New Roman" w:hAnsi="Times New Roman"/>
        </w:rPr>
        <w:t>.</w:t>
      </w:r>
    </w:p>
    <w:p w:rsidR="004E0984" w:rsidRDefault="004E0984" w:rsidP="004E0984">
      <w:pPr>
        <w:ind w:firstLine="2410"/>
        <w:jc w:val="both"/>
        <w:rPr>
          <w:rFonts w:ascii="Times New Roman" w:hAnsi="Times New Roman"/>
        </w:rPr>
      </w:pP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debate e definição dos programas, projetos, ações e serviços deverão ocorrer em tempo hábil de comunicar ao planejamento do Executivo Municipal para a inclusão dos mesmos aos projetos de leis orçamentárias.</w:t>
      </w: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3° </w:t>
      </w:r>
      <w:r>
        <w:rPr>
          <w:rFonts w:ascii="Times New Roman" w:hAnsi="Times New Roman"/>
        </w:rPr>
        <w:t xml:space="preserve">Os </w:t>
      </w:r>
      <w:r>
        <w:t xml:space="preserve">projetos de lei relativos ao plano plurianual, às diretrizes orçamentárias e a lei orçamentária anual deverão ter todos os respectivos </w:t>
      </w:r>
      <w:r>
        <w:rPr>
          <w:rFonts w:ascii="Times New Roman" w:hAnsi="Times New Roman"/>
        </w:rPr>
        <w:t>programas, projetos, ações e serviços descriminados e detalhados nos mesmos</w:t>
      </w:r>
      <w:r w:rsidRPr="00D457CA">
        <w:rPr>
          <w:rFonts w:ascii="Times New Roman" w:hAnsi="Times New Roman"/>
        </w:rPr>
        <w:t>.</w:t>
      </w: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</w:p>
    <w:p w:rsidR="004E0984" w:rsidRPr="00D457CA" w:rsidRDefault="004E0984" w:rsidP="004E0984">
      <w:pPr>
        <w:ind w:firstLine="2410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4° </w:t>
      </w:r>
      <w:r>
        <w:rPr>
          <w:rFonts w:ascii="Times New Roman" w:hAnsi="Times New Roman"/>
        </w:rPr>
        <w:t>O Executivo Municipal prestará conta anualmente à Câmara Municipal com relação a todas as aplicações descritas no art. 1º desta lei.</w:t>
      </w:r>
    </w:p>
    <w:p w:rsidR="004E0984" w:rsidRPr="00D457CA" w:rsidRDefault="004E0984" w:rsidP="004E0984">
      <w:pPr>
        <w:spacing w:line="200" w:lineRule="atLeast"/>
        <w:ind w:firstLine="2410"/>
        <w:jc w:val="both"/>
        <w:rPr>
          <w:rFonts w:ascii="Times New Roman" w:hAnsi="Times New Roman"/>
        </w:rPr>
      </w:pPr>
    </w:p>
    <w:p w:rsidR="004E0984" w:rsidRDefault="004E0984" w:rsidP="004E0984">
      <w:pPr>
        <w:ind w:firstLine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</w:t>
      </w:r>
      <w:r w:rsidRPr="00D457CA">
        <w:rPr>
          <w:rFonts w:ascii="Times New Roman" w:hAnsi="Times New Roman"/>
        </w:rPr>
        <w:t xml:space="preserve">° </w:t>
      </w:r>
      <w:r>
        <w:rPr>
          <w:rFonts w:ascii="Times New Roman" w:hAnsi="Times New Roman"/>
        </w:rPr>
        <w:t>Esta Lei entra em vigor no prazo de sessenta dias, a partir da</w:t>
      </w:r>
      <w:r w:rsidRPr="00D457CA">
        <w:rPr>
          <w:rFonts w:ascii="Times New Roman" w:hAnsi="Times New Roman"/>
        </w:rPr>
        <w:t xml:space="preserve"> data de sua publicação</w:t>
      </w:r>
      <w:r>
        <w:rPr>
          <w:rFonts w:ascii="Times New Roman" w:hAnsi="Times New Roman"/>
        </w:rPr>
        <w:t>.</w:t>
      </w:r>
    </w:p>
    <w:p w:rsidR="004E0984" w:rsidRPr="00D457CA" w:rsidRDefault="004E0984" w:rsidP="004E0984">
      <w:pPr>
        <w:spacing w:line="200" w:lineRule="atLeast"/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>.</w:t>
      </w:r>
    </w:p>
    <w:p w:rsidR="008052DA" w:rsidRPr="00596972" w:rsidRDefault="00596972" w:rsidP="00596972">
      <w:pPr>
        <w:spacing w:line="200" w:lineRule="atLeast"/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>.</w:t>
      </w:r>
    </w:p>
    <w:p w:rsidR="0092409B" w:rsidRPr="00596972" w:rsidRDefault="00CF0E9E" w:rsidP="00596972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409B">
        <w:rPr>
          <w:rFonts w:ascii="Times New Roman" w:hAnsi="Times New Roman" w:cs="Times New Roman"/>
          <w:sz w:val="22"/>
          <w:szCs w:val="22"/>
        </w:rPr>
        <w:t>S</w:t>
      </w:r>
      <w:r w:rsidR="003575DB" w:rsidRPr="0092409B">
        <w:rPr>
          <w:rFonts w:ascii="Times New Roman" w:hAnsi="Times New Roman" w:cs="Times New Roman"/>
          <w:sz w:val="22"/>
          <w:szCs w:val="22"/>
        </w:rPr>
        <w:t xml:space="preserve">ete </w:t>
      </w:r>
      <w:r w:rsidR="00EF5F05" w:rsidRPr="0092409B">
        <w:rPr>
          <w:rFonts w:ascii="Times New Roman" w:hAnsi="Times New Roman" w:cs="Times New Roman"/>
          <w:sz w:val="22"/>
          <w:szCs w:val="22"/>
        </w:rPr>
        <w:t>Lagoas, Sa</w:t>
      </w:r>
      <w:r w:rsidR="0092409B">
        <w:rPr>
          <w:rFonts w:ascii="Times New Roman" w:hAnsi="Times New Roman" w:cs="Times New Roman"/>
          <w:sz w:val="22"/>
          <w:szCs w:val="22"/>
        </w:rPr>
        <w:t>la das Sessões, 16</w:t>
      </w:r>
      <w:r w:rsidR="00EF5F05" w:rsidRPr="0092409B">
        <w:rPr>
          <w:rFonts w:ascii="Times New Roman" w:hAnsi="Times New Roman" w:cs="Times New Roman"/>
          <w:sz w:val="22"/>
          <w:szCs w:val="22"/>
        </w:rPr>
        <w:t xml:space="preserve"> de junh</w:t>
      </w:r>
      <w:r w:rsidR="006E6957" w:rsidRPr="0092409B">
        <w:rPr>
          <w:rFonts w:ascii="Times New Roman" w:hAnsi="Times New Roman" w:cs="Times New Roman"/>
          <w:sz w:val="22"/>
          <w:szCs w:val="22"/>
        </w:rPr>
        <w:t>o</w:t>
      </w:r>
      <w:r w:rsidRPr="0092409B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92409B" w:rsidRDefault="0092409B" w:rsidP="00CF0E9E">
      <w:pPr>
        <w:pStyle w:val="Corpodetexto"/>
        <w:jc w:val="both"/>
        <w:rPr>
          <w:color w:val="000000"/>
          <w:szCs w:val="24"/>
        </w:rPr>
      </w:pPr>
    </w:p>
    <w:p w:rsidR="004E0984" w:rsidRDefault="004E0984" w:rsidP="00CF0E9E">
      <w:pPr>
        <w:pStyle w:val="Corpodetexto"/>
        <w:jc w:val="both"/>
        <w:rPr>
          <w:color w:val="000000"/>
          <w:szCs w:val="24"/>
        </w:rPr>
      </w:pPr>
    </w:p>
    <w:p w:rsidR="004E0984" w:rsidRDefault="004E0984" w:rsidP="004E0984">
      <w:pPr>
        <w:tabs>
          <w:tab w:val="left" w:pos="1665"/>
          <w:tab w:val="center" w:pos="4536"/>
        </w:tabs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lastRenderedPageBreak/>
        <w:tab/>
      </w:r>
    </w:p>
    <w:p w:rsidR="004E0984" w:rsidRDefault="004E0984" w:rsidP="004E0984">
      <w:pPr>
        <w:tabs>
          <w:tab w:val="left" w:pos="1665"/>
          <w:tab w:val="center" w:pos="4536"/>
        </w:tabs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</w:pPr>
    </w:p>
    <w:p w:rsidR="004E0984" w:rsidRPr="004B42E8" w:rsidRDefault="004E0984" w:rsidP="004E0984">
      <w:pPr>
        <w:tabs>
          <w:tab w:val="left" w:pos="1665"/>
          <w:tab w:val="center" w:pos="4536"/>
        </w:tabs>
        <w:rPr>
          <w:b/>
          <w:bCs/>
          <w:i/>
          <w:iCs/>
          <w:kern w:val="2"/>
          <w:sz w:val="20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ab/>
      </w: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E0984" w:rsidRDefault="004E0984" w:rsidP="004E0984">
      <w:pPr>
        <w:rPr>
          <w:b/>
          <w:bCs/>
          <w:i/>
          <w:iCs/>
          <w:kern w:val="2"/>
        </w:rPr>
      </w:pPr>
    </w:p>
    <w:p w:rsidR="004E0984" w:rsidRDefault="004E0984" w:rsidP="004E0984">
      <w:pPr>
        <w:rPr>
          <w:b/>
          <w:bCs/>
          <w:i/>
          <w:iCs/>
          <w:kern w:val="2"/>
        </w:rPr>
      </w:pPr>
    </w:p>
    <w:p w:rsidR="004E0984" w:rsidRDefault="004E0984" w:rsidP="004E0984">
      <w:pPr>
        <w:pStyle w:val="Ttulo1"/>
        <w:jc w:val="center"/>
      </w:pPr>
      <w:r>
        <w:t>JOSÉ PEREIRA DA SILVA</w:t>
      </w:r>
    </w:p>
    <w:p w:rsidR="004E0984" w:rsidRDefault="004E0984" w:rsidP="004E0984">
      <w:pPr>
        <w:pStyle w:val="Ttulo1"/>
        <w:jc w:val="center"/>
      </w:pPr>
      <w:r>
        <w:t>Presidente</w:t>
      </w:r>
    </w:p>
    <w:p w:rsidR="004E0984" w:rsidRDefault="004E0984" w:rsidP="004E0984">
      <w:pPr>
        <w:rPr>
          <w:lang w:eastAsia="pt-BR"/>
        </w:rPr>
      </w:pPr>
    </w:p>
    <w:p w:rsidR="004E0984" w:rsidRPr="008951FC" w:rsidRDefault="004E0984" w:rsidP="004E0984">
      <w:pPr>
        <w:rPr>
          <w:lang w:eastAsia="pt-BR"/>
        </w:rPr>
      </w:pPr>
    </w:p>
    <w:p w:rsidR="004E0984" w:rsidRDefault="004E0984" w:rsidP="004E0984">
      <w:pPr>
        <w:pStyle w:val="Ttulo1"/>
        <w:jc w:val="center"/>
      </w:pPr>
      <w:r>
        <w:t>ALCIDES LONGO DE BARROS</w:t>
      </w:r>
    </w:p>
    <w:p w:rsidR="004E0984" w:rsidRDefault="004E0984" w:rsidP="004E0984">
      <w:pPr>
        <w:pStyle w:val="Ttulo1"/>
        <w:jc w:val="center"/>
      </w:pPr>
      <w:r>
        <w:t>Relator</w:t>
      </w:r>
    </w:p>
    <w:p w:rsidR="004E0984" w:rsidRDefault="004E0984" w:rsidP="004E0984">
      <w:pPr>
        <w:jc w:val="center"/>
        <w:rPr>
          <w:lang w:eastAsia="pt-BR"/>
        </w:rPr>
      </w:pPr>
    </w:p>
    <w:p w:rsidR="004E0984" w:rsidRPr="008951FC" w:rsidRDefault="004E0984" w:rsidP="004E0984">
      <w:pPr>
        <w:jc w:val="center"/>
        <w:rPr>
          <w:lang w:eastAsia="pt-BR"/>
        </w:rPr>
      </w:pPr>
      <w:bookmarkStart w:id="0" w:name="_GoBack"/>
      <w:bookmarkEnd w:id="0"/>
    </w:p>
    <w:p w:rsidR="004E0984" w:rsidRDefault="004E0984" w:rsidP="004E0984">
      <w:pPr>
        <w:pStyle w:val="Ttulo1"/>
        <w:jc w:val="center"/>
      </w:pPr>
      <w:r>
        <w:t>GILBERTO PEREIRA DA SILVA</w:t>
      </w:r>
    </w:p>
    <w:p w:rsidR="004E0984" w:rsidRPr="00B52C17" w:rsidRDefault="004E0984" w:rsidP="004E0984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4E0984" w:rsidRDefault="004E0984" w:rsidP="00CF0E9E">
      <w:pPr>
        <w:pStyle w:val="Corpodetexto"/>
        <w:jc w:val="both"/>
        <w:rPr>
          <w:color w:val="000000"/>
          <w:szCs w:val="24"/>
        </w:rPr>
      </w:pPr>
    </w:p>
    <w:sectPr w:rsidR="004E098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AE" w:rsidRDefault="002A47AE" w:rsidP="00963EEE">
      <w:pPr>
        <w:spacing w:after="0" w:line="240" w:lineRule="auto"/>
      </w:pPr>
      <w:r>
        <w:separator/>
      </w:r>
    </w:p>
  </w:endnote>
  <w:endnote w:type="continuationSeparator" w:id="0">
    <w:p w:rsidR="002A47AE" w:rsidRDefault="002A47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AE" w:rsidRDefault="002A47AE" w:rsidP="00963EEE">
      <w:pPr>
        <w:spacing w:after="0" w:line="240" w:lineRule="auto"/>
      </w:pPr>
      <w:r>
        <w:separator/>
      </w:r>
    </w:p>
  </w:footnote>
  <w:footnote w:type="continuationSeparator" w:id="0">
    <w:p w:rsidR="002A47AE" w:rsidRDefault="002A47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FB7652D" wp14:editId="19B1688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03120D" wp14:editId="7ED859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482C120A"/>
    <w:multiLevelType w:val="hybridMultilevel"/>
    <w:tmpl w:val="FEEAFC6E"/>
    <w:lvl w:ilvl="0" w:tplc="1CC29A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0F31F7"/>
    <w:rsid w:val="00211A3F"/>
    <w:rsid w:val="00293344"/>
    <w:rsid w:val="002A47AE"/>
    <w:rsid w:val="002B5D0D"/>
    <w:rsid w:val="002C6F70"/>
    <w:rsid w:val="003247B7"/>
    <w:rsid w:val="003575DB"/>
    <w:rsid w:val="00385E9F"/>
    <w:rsid w:val="003A6C14"/>
    <w:rsid w:val="00481A6F"/>
    <w:rsid w:val="004C5ED4"/>
    <w:rsid w:val="004E0984"/>
    <w:rsid w:val="005238CA"/>
    <w:rsid w:val="00576CDB"/>
    <w:rsid w:val="00596972"/>
    <w:rsid w:val="00635821"/>
    <w:rsid w:val="00693C28"/>
    <w:rsid w:val="006A3E47"/>
    <w:rsid w:val="006E6957"/>
    <w:rsid w:val="006F524A"/>
    <w:rsid w:val="007051D7"/>
    <w:rsid w:val="00750DEF"/>
    <w:rsid w:val="007959B5"/>
    <w:rsid w:val="008052DA"/>
    <w:rsid w:val="00886E42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9138A"/>
    <w:rsid w:val="00C93BB3"/>
    <w:rsid w:val="00CA43B9"/>
    <w:rsid w:val="00CB5386"/>
    <w:rsid w:val="00CF0E9E"/>
    <w:rsid w:val="00D65943"/>
    <w:rsid w:val="00DE337A"/>
    <w:rsid w:val="00DE7C41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2017-06-16T19:33:00Z</cp:lastPrinted>
  <dcterms:created xsi:type="dcterms:W3CDTF">2017-06-16T19:33:00Z</dcterms:created>
  <dcterms:modified xsi:type="dcterms:W3CDTF">2017-06-16T19:33:00Z</dcterms:modified>
</cp:coreProperties>
</file>