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64" w:rsidRDefault="008E6564" w:rsidP="008E6564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 xml:space="preserve"> 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 w:rsidR="008E6564" w:rsidRDefault="008E6564" w:rsidP="008E6564">
      <w:pPr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PARECER REGIMENTAL</w:t>
      </w:r>
    </w:p>
    <w:p w:rsidR="008E6564" w:rsidRDefault="008E6564" w:rsidP="008E6564">
      <w:pPr>
        <w:rPr>
          <w:rFonts w:ascii="Verdana" w:hAnsi="Verdana" w:cs="DejaVu Sans"/>
          <w:b/>
          <w:bCs/>
          <w:sz w:val="28"/>
          <w:szCs w:val="28"/>
        </w:rPr>
      </w:pPr>
    </w:p>
    <w:p w:rsidR="008E6564" w:rsidRDefault="008E6564" w:rsidP="008E6564">
      <w:pPr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COMISSÃO DE LEGISLAÇÃO E JUSTIÇA</w:t>
      </w:r>
      <w:r w:rsidR="002A3ACC">
        <w:rPr>
          <w:rFonts w:ascii="Verdana" w:hAnsi="Verdana" w:cs="DejaVu Sans"/>
          <w:b/>
          <w:bCs/>
          <w:sz w:val="28"/>
          <w:szCs w:val="28"/>
        </w:rPr>
        <w:t>-CLJ</w:t>
      </w:r>
    </w:p>
    <w:p w:rsidR="008E6564" w:rsidRDefault="008E6564" w:rsidP="008E6564">
      <w:pPr>
        <w:jc w:val="both"/>
      </w:pPr>
    </w:p>
    <w:p w:rsidR="008E6564" w:rsidRDefault="008E6564" w:rsidP="008E6564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  <w:sz w:val="28"/>
          <w:szCs w:val="28"/>
        </w:rPr>
        <w:t>MATÉRIA:</w:t>
      </w:r>
      <w:r>
        <w:rPr>
          <w:rFonts w:ascii="Verdana" w:hAnsi="Verdana" w:cs="DejaVu Sans"/>
          <w:sz w:val="28"/>
          <w:szCs w:val="28"/>
        </w:rPr>
        <w:t xml:space="preserve"> </w:t>
      </w:r>
      <w:r w:rsidR="002A3ACC">
        <w:rPr>
          <w:rFonts w:ascii="Verdana" w:hAnsi="Verdana" w:cs="DejaVu Sans"/>
        </w:rPr>
        <w:t>Anteprojeto de Lei nº 032/2016</w:t>
      </w:r>
      <w:r>
        <w:rPr>
          <w:rFonts w:ascii="Verdana" w:hAnsi="Verdana" w:cs="DejaVu Sans"/>
        </w:rPr>
        <w:t xml:space="preserve"> - “</w:t>
      </w:r>
      <w:r w:rsidR="002A3ACC">
        <w:rPr>
          <w:rFonts w:ascii="Verdana" w:hAnsi="Verdana" w:cs="DejaVu Sans"/>
        </w:rPr>
        <w:t>Dispõe sobre a vacinação domiciliar às pessoas com deficiência motora, multideficiência profunda com dificuldade de locomoção, doenças incapacitantes e degenerativas e dá outras providências”.</w:t>
      </w:r>
    </w:p>
    <w:p w:rsidR="002A3ACC" w:rsidRDefault="002A3ACC" w:rsidP="008E6564">
      <w:pPr>
        <w:jc w:val="both"/>
        <w:rPr>
          <w:rFonts w:ascii="Verdana" w:hAnsi="Verdana" w:cs="DejaVu Sans"/>
        </w:rPr>
      </w:pPr>
    </w:p>
    <w:p w:rsidR="008E6564" w:rsidRDefault="008E6564" w:rsidP="008E6564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  <w:sz w:val="28"/>
          <w:szCs w:val="28"/>
        </w:rPr>
        <w:t xml:space="preserve">AUTOR: </w:t>
      </w:r>
      <w:r>
        <w:rPr>
          <w:rFonts w:ascii="Verdana" w:hAnsi="Verdana" w:cs="DejaVu Sans"/>
        </w:rPr>
        <w:t>Ve</w:t>
      </w:r>
      <w:r w:rsidR="002A3ACC">
        <w:rPr>
          <w:rFonts w:ascii="Verdana" w:hAnsi="Verdana" w:cs="DejaVu Sans"/>
        </w:rPr>
        <w:t>reador Alcides</w:t>
      </w:r>
      <w:r w:rsidR="001D054C">
        <w:rPr>
          <w:rFonts w:ascii="Verdana" w:hAnsi="Verdana" w:cs="DejaVu Sans"/>
        </w:rPr>
        <w:t xml:space="preserve"> Longo de Barros.</w:t>
      </w:r>
    </w:p>
    <w:p w:rsidR="008E6564" w:rsidRDefault="008E6564" w:rsidP="008E6564">
      <w:pPr>
        <w:jc w:val="both"/>
        <w:rPr>
          <w:rFonts w:ascii="Verdana" w:hAnsi="Verdana" w:cs="DejaVu Sans"/>
        </w:rPr>
      </w:pPr>
    </w:p>
    <w:p w:rsidR="008E6564" w:rsidRDefault="008E6564" w:rsidP="008E6564">
      <w:pPr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>___________________________________________________</w:t>
      </w:r>
    </w:p>
    <w:p w:rsidR="008E6564" w:rsidRDefault="008E6564" w:rsidP="008E6564">
      <w:pPr>
        <w:rPr>
          <w:rFonts w:ascii="Verdana" w:hAnsi="Verdana" w:cs="DejaVu Sans"/>
          <w:sz w:val="26"/>
          <w:szCs w:val="26"/>
        </w:rPr>
      </w:pPr>
    </w:p>
    <w:p w:rsidR="008E6564" w:rsidRDefault="008E6564" w:rsidP="008E6564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  <w:r>
        <w:rPr>
          <w:rFonts w:ascii="Verdana" w:hAnsi="Verdana" w:cs="DejaVu Sans"/>
          <w:sz w:val="26"/>
          <w:szCs w:val="26"/>
          <w:u w:val="single"/>
        </w:rPr>
        <w:t>Relatório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</w:p>
    <w:p w:rsidR="001D054C" w:rsidRDefault="008E6564" w:rsidP="008E656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A proposição em epígrafe, cuja autoria pertence a membro desta edilidade, visa a </w:t>
      </w:r>
      <w:proofErr w:type="gramStart"/>
      <w:r w:rsidR="001D054C">
        <w:rPr>
          <w:rFonts w:ascii="Verdana" w:hAnsi="Verdana" w:cs="DejaVu Sans"/>
        </w:rPr>
        <w:t>implementar</w:t>
      </w:r>
      <w:proofErr w:type="gramEnd"/>
      <w:r w:rsidR="001D054C">
        <w:rPr>
          <w:rFonts w:ascii="Verdana" w:hAnsi="Verdana" w:cs="DejaVu Sans"/>
        </w:rPr>
        <w:t xml:space="preserve"> uma ação municipal na área da saúde</w:t>
      </w:r>
      <w:r>
        <w:rPr>
          <w:rFonts w:ascii="Verdana" w:hAnsi="Verdana" w:cs="DejaVu Sans"/>
        </w:rPr>
        <w:t xml:space="preserve">, objetivando </w:t>
      </w:r>
      <w:r w:rsidR="001D054C">
        <w:rPr>
          <w:rFonts w:ascii="Verdana" w:hAnsi="Verdana" w:cs="DejaVu Sans"/>
        </w:rPr>
        <w:t xml:space="preserve">garantir a vacinação domiciliar às pessoas portadoras de deficiência motora, multideficiência </w:t>
      </w:r>
      <w:r w:rsidR="006B1E44">
        <w:rPr>
          <w:rFonts w:ascii="Verdana" w:hAnsi="Verdana" w:cs="DejaVu Sans"/>
        </w:rPr>
        <w:t>profunda com</w:t>
      </w:r>
      <w:r w:rsidR="001D054C">
        <w:rPr>
          <w:rFonts w:ascii="Verdana" w:hAnsi="Verdana" w:cs="DejaVu Sans"/>
        </w:rPr>
        <w:t xml:space="preserve"> dificuldade de locomoção</w:t>
      </w:r>
      <w:r w:rsidR="006B1E44">
        <w:rPr>
          <w:rFonts w:ascii="Verdana" w:hAnsi="Verdana" w:cs="DejaVu Sans"/>
        </w:rPr>
        <w:t>,</w:t>
      </w:r>
      <w:r w:rsidR="001D054C">
        <w:rPr>
          <w:rFonts w:ascii="Verdana" w:hAnsi="Verdana" w:cs="DejaVu Sans"/>
        </w:rPr>
        <w:t xml:space="preserve"> doenças incapacitantes e degenerativas.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O anteprojeto foi distribuído nesta data a esta Comissão de Legislação e Justiça para receber parecer quanto aos aspectos de sua juridicidade, constitucionalidade e legalidade, </w:t>
      </w:r>
      <w:proofErr w:type="gramStart"/>
      <w:r>
        <w:rPr>
          <w:rFonts w:ascii="Verdana" w:hAnsi="Verdana" w:cs="DejaVu Sans"/>
        </w:rPr>
        <w:t>nos</w:t>
      </w:r>
      <w:proofErr w:type="gramEnd"/>
      <w:r>
        <w:rPr>
          <w:rFonts w:ascii="Verdana" w:hAnsi="Verdana" w:cs="DejaVu Sans"/>
        </w:rPr>
        <w:t xml:space="preserve"> </w:t>
      </w:r>
      <w:proofErr w:type="gramStart"/>
      <w:r>
        <w:rPr>
          <w:rFonts w:ascii="Verdana" w:hAnsi="Verdana" w:cs="DejaVu Sans"/>
        </w:rPr>
        <w:t>termos</w:t>
      </w:r>
      <w:proofErr w:type="gramEnd"/>
      <w:r>
        <w:rPr>
          <w:rFonts w:ascii="Verdana" w:hAnsi="Verdana" w:cs="DejaVu Sans"/>
        </w:rPr>
        <w:t xml:space="preserve"> do disposto no art. 169 c/c art. 69 e § 1º do art. 83 do Regimento Interno.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Presentes </w:t>
      </w:r>
      <w:proofErr w:type="gramStart"/>
      <w:r>
        <w:rPr>
          <w:rFonts w:ascii="Verdana" w:hAnsi="Verdana" w:cs="DejaVu Sans"/>
        </w:rPr>
        <w:t>às</w:t>
      </w:r>
      <w:proofErr w:type="gramEnd"/>
      <w:r>
        <w:rPr>
          <w:rFonts w:ascii="Verdana" w:hAnsi="Verdana" w:cs="DejaVu Sans"/>
        </w:rPr>
        <w:t xml:space="preserve"> reunião o Vereador Marce</w:t>
      </w:r>
      <w:r w:rsidR="006B1E44">
        <w:rPr>
          <w:rFonts w:ascii="Verdana" w:hAnsi="Verdana" w:cs="DejaVu Sans"/>
        </w:rPr>
        <w:t xml:space="preserve">lo Pires Rodrigues (Presidente) e </w:t>
      </w:r>
      <w:r>
        <w:rPr>
          <w:rFonts w:ascii="Verdana" w:hAnsi="Verdana" w:cs="DejaVu Sans"/>
        </w:rPr>
        <w:t xml:space="preserve">o Vereador </w:t>
      </w:r>
      <w:r w:rsidR="006B1E44">
        <w:rPr>
          <w:rFonts w:ascii="Verdana" w:hAnsi="Verdana" w:cs="DejaVu Sans"/>
        </w:rPr>
        <w:t xml:space="preserve">Euro de Andrade Lanza que assumiu a relatoria dos trabalhos tendo em vista a ausência do </w:t>
      </w:r>
      <w:r>
        <w:rPr>
          <w:rFonts w:ascii="Verdana" w:hAnsi="Verdana" w:cs="DejaVu Sans"/>
        </w:rPr>
        <w:t>Dalton Antônio de Avelar Andrade (Relator)</w:t>
      </w:r>
      <w:r w:rsidR="006B1E44">
        <w:rPr>
          <w:rFonts w:ascii="Verdana" w:hAnsi="Verdana" w:cs="DejaVu Sans"/>
        </w:rPr>
        <w:t>. Presentes também o Consultor Jurídico</w:t>
      </w:r>
      <w:r>
        <w:rPr>
          <w:rFonts w:ascii="Verdana" w:hAnsi="Verdana" w:cs="DejaVu Sans"/>
        </w:rPr>
        <w:t>, assessores de gabinetes e munícipes.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  <w:sz w:val="26"/>
          <w:szCs w:val="26"/>
        </w:rPr>
      </w:pPr>
    </w:p>
    <w:p w:rsidR="008E6564" w:rsidRDefault="008E6564" w:rsidP="008E6564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  <w:r>
        <w:rPr>
          <w:rFonts w:ascii="Verdana" w:hAnsi="Verdana" w:cs="DejaVu Sans"/>
          <w:sz w:val="26"/>
          <w:szCs w:val="26"/>
          <w:u w:val="single"/>
        </w:rPr>
        <w:t>Fundamentação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  <w:u w:val="single"/>
        </w:rPr>
      </w:pP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</w:rPr>
        <w:t>legiferante</w:t>
      </w:r>
      <w:proofErr w:type="spellEnd"/>
      <w:r>
        <w:rPr>
          <w:rFonts w:ascii="Verdana" w:hAnsi="Verdana" w:cs="DejaVu Sans"/>
        </w:rPr>
        <w:t xml:space="preserve"> estabelecidas pelo art.61, § 1º, I e II, reafirmadas, por sua vez, pelo art. 84, III, todos da Constituição da República.</w:t>
      </w:r>
    </w:p>
    <w:p w:rsidR="008E6564" w:rsidRDefault="008E6564" w:rsidP="002A3ACC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Nessa linha sucede que a criação de programas, projetos ou ações de governo é primazia do Chefe do Poder </w:t>
      </w:r>
      <w:proofErr w:type="gramStart"/>
      <w:r>
        <w:rPr>
          <w:rFonts w:ascii="Verdana" w:hAnsi="Verdana" w:cs="DejaVu Sans"/>
        </w:rPr>
        <w:t>Executivo</w:t>
      </w:r>
      <w:proofErr w:type="gramEnd"/>
    </w:p>
    <w:p w:rsidR="008E6564" w:rsidRDefault="008E6564" w:rsidP="008E6564">
      <w:pPr>
        <w:jc w:val="both"/>
        <w:rPr>
          <w:rFonts w:ascii="Verdana" w:hAnsi="Verdana" w:cs="DejaVu Sans"/>
        </w:rPr>
      </w:pPr>
      <w:proofErr w:type="gramStart"/>
      <w:r>
        <w:rPr>
          <w:rFonts w:ascii="Verdana" w:hAnsi="Verdana" w:cs="DejaVu Sans"/>
        </w:rPr>
        <w:t>pela</w:t>
      </w:r>
      <w:proofErr w:type="gramEnd"/>
      <w:r>
        <w:rPr>
          <w:rFonts w:ascii="Verdana" w:hAnsi="Verdana" w:cs="DejaVu Sans"/>
        </w:rPr>
        <w:t xml:space="preserve"> aplicação conjugada das regras introduzidas pelos </w:t>
      </w:r>
      <w:proofErr w:type="spellStart"/>
      <w:r>
        <w:rPr>
          <w:rFonts w:ascii="Verdana" w:hAnsi="Verdana" w:cs="DejaVu Sans"/>
        </w:rPr>
        <w:t>arts</w:t>
      </w:r>
      <w:proofErr w:type="spellEnd"/>
      <w:r>
        <w:rPr>
          <w:rFonts w:ascii="Verdana" w:hAnsi="Verdana" w:cs="DejaVu Sans"/>
        </w:rPr>
        <w:t>. 61, § 1º, II, “e”, e 84, II e III,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>da Carta   Federal.  Isso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 xml:space="preserve">porque  essa </w:t>
      </w:r>
      <w:r>
        <w:rPr>
          <w:rFonts w:ascii="Verdana" w:hAnsi="Verdana" w:cs="DejaVu Sans"/>
        </w:rPr>
        <w:lastRenderedPageBreak/>
        <w:t xml:space="preserve">prerrogativa deságua na criação e atribuição de tarefas adicionais para os órgãos que compõem a estrutura da Prefeitura, além de gerar novas despesas para o Orçamento municipal, o  que  é  defeso ao Poder Legislativo, a bem da preservação do princípio basilar da independência e harmonia entre os Poderes.  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Portanto, a presente proposição encaminhada sob a forma de anteprojeto atende perfeitamente os ditames constitucionais e infraconstitucionais, posto que </w:t>
      </w:r>
      <w:proofErr w:type="gramStart"/>
      <w:r>
        <w:rPr>
          <w:rFonts w:ascii="Verdana" w:hAnsi="Verdana" w:cs="DejaVu Sans"/>
        </w:rPr>
        <w:t>respeita</w:t>
      </w:r>
      <w:proofErr w:type="gramEnd"/>
      <w:r>
        <w:rPr>
          <w:rFonts w:ascii="Verdana" w:hAnsi="Verdana" w:cs="DejaVu Sans"/>
        </w:rPr>
        <w:t xml:space="preserve"> a reserva legal da iniciativa do Poder Executivo, no que tange à matéria então versada.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Quanto à adequação da matéria ao ordenamento jurídico pátrio nada vemos que possa obstar sua normal tramitação.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</w:p>
    <w:p w:rsidR="008E6564" w:rsidRDefault="008E6564" w:rsidP="008E6564">
      <w:pPr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</w:rPr>
        <w:t xml:space="preserve">                            </w:t>
      </w:r>
      <w:r>
        <w:rPr>
          <w:rFonts w:ascii="Verdana" w:hAnsi="Verdana" w:cs="DejaVu Sans"/>
          <w:u w:val="single"/>
        </w:rPr>
        <w:t>Conclusão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  <w:u w:val="single"/>
        </w:rPr>
      </w:pP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Em face do exposto, este relator conclui pela juridicidade, constitucionalidade e legalid</w:t>
      </w:r>
      <w:r w:rsidR="00435333">
        <w:rPr>
          <w:rFonts w:ascii="Verdana" w:hAnsi="Verdana" w:cs="DejaVu Sans"/>
        </w:rPr>
        <w:t>ade do Anteprojeto de Lei nº 032/2016</w:t>
      </w:r>
      <w:r>
        <w:rPr>
          <w:rFonts w:ascii="Verdana" w:hAnsi="Verdana" w:cs="DejaVu Sans"/>
        </w:rPr>
        <w:t>.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</w:p>
    <w:p w:rsidR="008E6564" w:rsidRDefault="00435333" w:rsidP="008E656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25 de maio de 2016</w:t>
      </w:r>
      <w:r w:rsidR="008E6564">
        <w:rPr>
          <w:rFonts w:ascii="Verdana" w:hAnsi="Verdana" w:cs="DejaVu Sans"/>
        </w:rPr>
        <w:t>.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</w:p>
    <w:p w:rsidR="008E6564" w:rsidRDefault="00435333" w:rsidP="008E656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</w:p>
    <w:p w:rsidR="008E6564" w:rsidRDefault="008E6564" w:rsidP="008E6564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</w:p>
    <w:p w:rsidR="008E6564" w:rsidRDefault="008E6564" w:rsidP="008E6564">
      <w:pPr>
        <w:ind w:firstLine="2295"/>
        <w:jc w:val="both"/>
        <w:rPr>
          <w:rFonts w:ascii="Verdana" w:hAnsi="Verdana" w:cs="DejaVu Sans"/>
        </w:rPr>
      </w:pPr>
    </w:p>
    <w:sectPr w:rsidR="008E6564" w:rsidSect="00A70E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ACC" w:rsidRDefault="002A3ACC" w:rsidP="002A3ACC">
      <w:r>
        <w:separator/>
      </w:r>
    </w:p>
  </w:endnote>
  <w:endnote w:type="continuationSeparator" w:id="0">
    <w:p w:rsidR="002A3ACC" w:rsidRDefault="002A3ACC" w:rsidP="002A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ACC" w:rsidRDefault="002A3ACC" w:rsidP="002A3ACC">
      <w:r>
        <w:separator/>
      </w:r>
    </w:p>
  </w:footnote>
  <w:footnote w:type="continuationSeparator" w:id="0">
    <w:p w:rsidR="002A3ACC" w:rsidRDefault="002A3ACC" w:rsidP="002A3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ACC" w:rsidRDefault="002A3ACC" w:rsidP="002A3ACC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19050" t="0" r="0" b="0"/>
          <wp:wrapTight wrapText="bothSides">
            <wp:wrapPolygon edited="0">
              <wp:start x="-456" y="0"/>
              <wp:lineTo x="-456" y="20962"/>
              <wp:lineTo x="21418" y="20962"/>
              <wp:lineTo x="21418" y="0"/>
              <wp:lineTo x="-456" y="0"/>
            </wp:wrapPolygon>
          </wp:wrapTight>
          <wp:docPr id="1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2A3ACC" w:rsidRDefault="002A3ACC" w:rsidP="002A3ACC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2A3ACC" w:rsidRDefault="002A3ACC" w:rsidP="002A3ACC">
    <w:pPr>
      <w:pStyle w:val="Cabealho"/>
      <w:jc w:val="center"/>
      <w:rPr>
        <w:sz w:val="18"/>
      </w:rPr>
    </w:pPr>
    <w:r>
      <w:rPr>
        <w:sz w:val="18"/>
      </w:rPr>
      <w:t>Av. Getúlio Vargas, 111 – Centro – Sete Lagoas / MG - CEP: 35700-046</w:t>
    </w:r>
    <w:r>
      <w:rPr>
        <w:sz w:val="18"/>
      </w:rPr>
      <w:br/>
      <w:t xml:space="preserve">Fone: 31 3779-6300 | E-mail: </w:t>
    </w:r>
    <w:proofErr w:type="gramStart"/>
    <w:r>
      <w:rPr>
        <w:sz w:val="18"/>
      </w:rPr>
      <w:t>atendimento@camarasete.mg.gov.br</w:t>
    </w:r>
    <w:proofErr w:type="gramEnd"/>
  </w:p>
  <w:p w:rsidR="002A3ACC" w:rsidRDefault="002A3AC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564"/>
    <w:rsid w:val="001D054C"/>
    <w:rsid w:val="002A3ACC"/>
    <w:rsid w:val="00435333"/>
    <w:rsid w:val="006B1E44"/>
    <w:rsid w:val="008E6564"/>
    <w:rsid w:val="00A70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56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A3A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3ACC"/>
    <w:rPr>
      <w:rFonts w:ascii="Liberation Serif" w:eastAsia="DejaVu Sans" w:hAnsi="Liberation Serif" w:cs="Times New Roman"/>
      <w:kern w:val="2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2A3A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A3ACC"/>
    <w:rPr>
      <w:rFonts w:ascii="Liberation Serif" w:eastAsia="DejaVu Sans" w:hAnsi="Liberation Serif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2016-05-30T12:44:00Z</cp:lastPrinted>
  <dcterms:created xsi:type="dcterms:W3CDTF">2016-05-30T11:49:00Z</dcterms:created>
  <dcterms:modified xsi:type="dcterms:W3CDTF">2016-05-30T12:50:00Z</dcterms:modified>
</cp:coreProperties>
</file>