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19" w:rsidRDefault="00714019" w:rsidP="00714019">
      <w:pPr>
        <w:jc w:val="center"/>
        <w:rPr>
          <w:rFonts w:ascii="Verdana" w:hAnsi="Verdana"/>
          <w:b/>
          <w:bCs/>
          <w:sz w:val="28"/>
          <w:szCs w:val="28"/>
        </w:rPr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5pt;height:67.8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5" DrawAspect="Content" ObjectID="_1498998914" r:id="rId5"/>
        </w:object>
      </w:r>
    </w:p>
    <w:p w:rsidR="00714019" w:rsidRDefault="00714019" w:rsidP="00714019">
      <w:pPr>
        <w:jc w:val="center"/>
        <w:rPr>
          <w:rFonts w:ascii="Verdana" w:hAnsi="Verdana"/>
          <w:b/>
          <w:bCs/>
          <w:sz w:val="28"/>
          <w:szCs w:val="28"/>
        </w:rPr>
      </w:pPr>
    </w:p>
    <w:p w:rsidR="00714019" w:rsidRDefault="00714019" w:rsidP="00714019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 w:rsidR="00714019" w:rsidRDefault="00714019" w:rsidP="00714019">
      <w:pPr>
        <w:jc w:val="center"/>
        <w:rPr>
          <w:rFonts w:ascii="Verdana" w:hAnsi="Verdana"/>
          <w:b/>
          <w:bCs/>
        </w:rPr>
      </w:pPr>
    </w:p>
    <w:p w:rsidR="00714019" w:rsidRDefault="00714019" w:rsidP="00714019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COMISSÃO DE FISCALIZAÇÃO FINANCEIRA, ORÇAMENTÁRIA E DE TOMADA DE CONTAS - CFFOTC</w:t>
      </w:r>
    </w:p>
    <w:p w:rsidR="00714019" w:rsidRDefault="00714019" w:rsidP="00714019">
      <w:pPr>
        <w:jc w:val="center"/>
        <w:rPr>
          <w:rFonts w:ascii="Verdana" w:hAnsi="Verdana"/>
          <w:b/>
          <w:bCs/>
        </w:rPr>
      </w:pPr>
    </w:p>
    <w:p w:rsidR="00714019" w:rsidRDefault="00714019" w:rsidP="00714019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 xml:space="preserve">MATÉRIA: </w:t>
      </w:r>
      <w:r>
        <w:rPr>
          <w:rFonts w:ascii="Verdana" w:hAnsi="Verdana" w:cs="DejaVu Sans"/>
        </w:rPr>
        <w:t>Projeto de Lei nº 120/2015 - “Concede Contribuição ao Serviço de Promoção ao Menor e a Família - SERPAF”.</w:t>
      </w:r>
    </w:p>
    <w:p w:rsidR="00714019" w:rsidRDefault="00714019" w:rsidP="00714019"/>
    <w:p w:rsidR="00714019" w:rsidRDefault="00714019" w:rsidP="00714019">
      <w:pPr>
        <w:pBdr>
          <w:bottom w:val="single" w:sz="8" w:space="2" w:color="000000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AUTOR:</w:t>
      </w:r>
      <w:r>
        <w:rPr>
          <w:rFonts w:ascii="Verdana" w:hAnsi="Verdana" w:cs="DejaVu Sans"/>
        </w:rPr>
        <w:t xml:space="preserve"> Poder Executivo Municipal.</w:t>
      </w:r>
    </w:p>
    <w:p w:rsidR="00714019" w:rsidRDefault="00714019" w:rsidP="00714019">
      <w:pPr>
        <w:pBdr>
          <w:bottom w:val="single" w:sz="8" w:space="2" w:color="000000"/>
        </w:pBdr>
      </w:pPr>
    </w:p>
    <w:p w:rsidR="00714019" w:rsidRDefault="00714019" w:rsidP="00714019">
      <w:pPr>
        <w:ind w:firstLine="2295"/>
        <w:jc w:val="both"/>
        <w:rPr>
          <w:rFonts w:ascii="Verdana" w:hAnsi="Verdana" w:cs="DejaVu Sans"/>
          <w:u w:val="single"/>
        </w:rPr>
      </w:pPr>
    </w:p>
    <w:p w:rsidR="00714019" w:rsidRDefault="00714019" w:rsidP="00714019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714019" w:rsidRDefault="00714019" w:rsidP="00714019">
      <w:pPr>
        <w:ind w:firstLine="2295"/>
        <w:jc w:val="both"/>
        <w:rPr>
          <w:rFonts w:ascii="Verdana" w:hAnsi="Verdana" w:cs="DejaVu Sans"/>
          <w:u w:val="single"/>
        </w:rPr>
      </w:pPr>
    </w:p>
    <w:p w:rsidR="00714019" w:rsidRDefault="00714019" w:rsidP="00714019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A proposição acima referenciada, cuja autoria pertence ao Chefe do Poder Executivo Municipal, visa a conceder  contribuição no valor total de R$69.998,60 ao Serviço de Promoção ao Menor e a Família - SERPAF, visando auxiliar dita entidade no cumprimento de seus objetivos estatutários.</w:t>
      </w:r>
    </w:p>
    <w:p w:rsidR="00714019" w:rsidRDefault="00714019" w:rsidP="00714019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de lei foi distribuído nesta data a esta Comissão para receber parecer quanto aos aspectos de sua adequação financeira e orçamentária, nos termos do disposto no art. 108, inc. II do Regimento Interno da Câmara Municipal.</w:t>
      </w:r>
    </w:p>
    <w:p w:rsidR="00714019" w:rsidRDefault="00714019" w:rsidP="00714019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 Vereador Milton Maurício Martins (presidente), o Vereador Joaquim Gonzaga Barbosa (relator) e a Vereadora Marli Aparecida Barbosa, além do Procurador Geral do Legislativo e Assessores de Gabinetes.</w:t>
      </w:r>
    </w:p>
    <w:p w:rsidR="00714019" w:rsidRDefault="00714019" w:rsidP="00714019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714019" w:rsidRDefault="00714019" w:rsidP="00714019">
      <w:pPr>
        <w:ind w:firstLine="234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Fundamentação</w:t>
      </w:r>
    </w:p>
    <w:p w:rsidR="00714019" w:rsidRDefault="00714019" w:rsidP="00714019">
      <w:pPr>
        <w:ind w:firstLine="2340"/>
        <w:jc w:val="both"/>
        <w:rPr>
          <w:rFonts w:ascii="Verdana" w:hAnsi="Verdana"/>
        </w:rPr>
      </w:pPr>
    </w:p>
    <w:p w:rsidR="00714019" w:rsidRDefault="00714019" w:rsidP="00714019">
      <w:pPr>
        <w:ind w:firstLine="2340"/>
        <w:jc w:val="both"/>
        <w:rPr>
          <w:rFonts w:ascii="Verdana" w:hAnsi="Verdana"/>
        </w:rPr>
      </w:pPr>
      <w:r>
        <w:rPr>
          <w:rFonts w:ascii="Verdana" w:hAnsi="Verdana"/>
        </w:rPr>
        <w:t>Sobre a matéria, a Lei de Responsabilidade Fiscal assim dispõe:</w:t>
      </w:r>
    </w:p>
    <w:p w:rsidR="00714019" w:rsidRDefault="00714019" w:rsidP="00714019">
      <w:pPr>
        <w:ind w:firstLine="2340"/>
        <w:jc w:val="both"/>
        <w:rPr>
          <w:rFonts w:ascii="Verdana" w:hAnsi="Verdana"/>
        </w:rPr>
      </w:pPr>
    </w:p>
    <w:p w:rsidR="00714019" w:rsidRDefault="00714019" w:rsidP="00714019">
      <w:pPr>
        <w:ind w:firstLine="2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/>
          <w:i/>
        </w:rPr>
        <w:t xml:space="preserve">Art. 26. A destinação de recursos para, direta ou indiretamente cobrir necessidades de pessoas físicas ou déficits de pessoas jurídicas deverá ser autorizada por lei específica, atender às condições estabelecidas na Lei de </w:t>
      </w:r>
    </w:p>
    <w:p w:rsidR="00714019" w:rsidRDefault="00714019" w:rsidP="00714019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Times New Roman" w:hAnsi="Times New Roman"/>
          <w:i/>
        </w:rPr>
        <w:t>Diretrizes Orçamentárias e estar prevista no orçamento ou em seus créditos adicionais.”.</w:t>
      </w:r>
    </w:p>
    <w:p w:rsidR="00714019" w:rsidRDefault="00714019" w:rsidP="00714019">
      <w:pPr>
        <w:ind w:firstLine="2340"/>
        <w:jc w:val="both"/>
        <w:rPr>
          <w:rFonts w:ascii="Verdana" w:hAnsi="Verdana" w:cs="DejaVu Sans"/>
          <w:sz w:val="28"/>
          <w:szCs w:val="28"/>
        </w:rPr>
      </w:pPr>
    </w:p>
    <w:p w:rsidR="00714019" w:rsidRDefault="00714019" w:rsidP="00714019">
      <w:pPr>
        <w:ind w:firstLine="2340"/>
        <w:jc w:val="both"/>
        <w:rPr>
          <w:rFonts w:ascii="Verdana" w:hAnsi="Verdana"/>
        </w:rPr>
      </w:pPr>
      <w:r>
        <w:rPr>
          <w:rFonts w:ascii="Verdana" w:hAnsi="Verdana"/>
        </w:rPr>
        <w:t xml:space="preserve">A Lei de Diretrizes Orçamentárias para 2015 - LDO, Lei nº 8.365/2014, no Capítulo V – Das Disposições para as Transferências, fixa uma série de condições a serem cumpridas e </w:t>
      </w:r>
    </w:p>
    <w:p w:rsidR="00714019" w:rsidRDefault="00714019" w:rsidP="00714019">
      <w:pPr>
        <w:jc w:val="both"/>
        <w:rPr>
          <w:rFonts w:ascii="Verdana" w:hAnsi="Verdana"/>
        </w:rPr>
      </w:pPr>
      <w:r>
        <w:object w:dxaOrig="9074" w:dyaOrig="1815">
          <v:shape id="_x0000_i1026" type="#_x0000_t75" style="width:379.55pt;height:67.8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6" DrawAspect="Content" ObjectID="_1498998915" r:id="rId6"/>
        </w:object>
      </w:r>
    </w:p>
    <w:p w:rsidR="00714019" w:rsidRDefault="00714019" w:rsidP="00714019">
      <w:pPr>
        <w:jc w:val="both"/>
        <w:rPr>
          <w:rFonts w:ascii="Verdana" w:hAnsi="Verdana"/>
        </w:rPr>
      </w:pPr>
      <w:r>
        <w:rPr>
          <w:rFonts w:ascii="Verdana" w:hAnsi="Verdana"/>
        </w:rPr>
        <w:t>elenca documentos a serem apresentados pela entidade candidata ao recebimento de recursos oriundos dos cofres públicos. Confrontando os documentos que instruem o presente projeto e as informações nele contidas, com as disposições da LDO/2015, constata-se que a associação preenche todos os requisitos legais exigidos para o recebimento da contribuição pretendida.</w:t>
      </w:r>
    </w:p>
    <w:p w:rsidR="00714019" w:rsidRDefault="00714019" w:rsidP="00714019">
      <w:pPr>
        <w:ind w:firstLine="2340"/>
        <w:jc w:val="both"/>
        <w:rPr>
          <w:rFonts w:ascii="Verdana" w:hAnsi="Verdana"/>
        </w:rPr>
      </w:pPr>
      <w:r>
        <w:rPr>
          <w:rFonts w:ascii="Verdana" w:hAnsi="Verdana"/>
        </w:rPr>
        <w:t>No que tange à Lei Orçamentária para 2015, Lei nº 8.404/2015, conforme indicado no art. 2º do projeto, a dotação 12.4.8.244.2415.2444 – formalização de convênios com organizações sociais/entidades de assistência social – 3335041.000000 – contribuições, recursos do Fundo Municipal de Assistência Social, possui saldo orçamentário para fazer frente a nova despesa.</w:t>
      </w:r>
    </w:p>
    <w:p w:rsidR="00714019" w:rsidRDefault="00714019" w:rsidP="00714019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sz w:val="28"/>
          <w:szCs w:val="28"/>
        </w:rPr>
        <w:t xml:space="preserve">                        </w:t>
      </w:r>
      <w:r>
        <w:rPr>
          <w:rFonts w:ascii="Verdana" w:hAnsi="Verdana" w:cs="DejaVu Sans"/>
        </w:rPr>
        <w:t xml:space="preserve"> Ressalte-se que, diferentemente da subvenção social, a contribuição não exige contraprestação direta em bens e serviços por parte da entidade que será beneficiada pelos recursos públicos, sendo ampla sua aplicação.</w:t>
      </w:r>
    </w:p>
    <w:p w:rsidR="00714019" w:rsidRDefault="00714019" w:rsidP="0071401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8"/>
          <w:szCs w:val="28"/>
        </w:rPr>
        <w:t xml:space="preserve">         </w:t>
      </w:r>
      <w:r>
        <w:rPr>
          <w:rFonts w:ascii="Verdana" w:hAnsi="Verdana"/>
          <w:b/>
          <w:bCs/>
        </w:rPr>
        <w:t xml:space="preserve">            </w:t>
      </w:r>
    </w:p>
    <w:p w:rsidR="00714019" w:rsidRDefault="00714019" w:rsidP="00714019">
      <w:pPr>
        <w:jc w:val="both"/>
        <w:rPr>
          <w:rFonts w:ascii="Verdana" w:hAnsi="Verdana" w:cs="DejaVu Sans"/>
          <w:u w:val="single"/>
        </w:rPr>
      </w:pPr>
      <w:r>
        <w:rPr>
          <w:rFonts w:ascii="Verdana" w:hAnsi="Verdana"/>
          <w:b/>
          <w:bCs/>
        </w:rPr>
        <w:t xml:space="preserve">                           </w:t>
      </w:r>
      <w:r>
        <w:rPr>
          <w:rFonts w:ascii="Verdana" w:hAnsi="Verdana" w:cs="DejaVu Sans"/>
          <w:u w:val="single"/>
        </w:rPr>
        <w:t>Conclusão</w:t>
      </w:r>
    </w:p>
    <w:p w:rsidR="00714019" w:rsidRDefault="00714019" w:rsidP="00714019">
      <w:pPr>
        <w:ind w:firstLine="2295"/>
        <w:jc w:val="both"/>
        <w:rPr>
          <w:rFonts w:ascii="Verdana" w:hAnsi="Verdana" w:cs="DejaVu Sans"/>
          <w:u w:val="single"/>
        </w:rPr>
      </w:pPr>
    </w:p>
    <w:p w:rsidR="00714019" w:rsidRDefault="00714019" w:rsidP="00714019">
      <w:pPr>
        <w:ind w:firstLine="2295"/>
        <w:jc w:val="both"/>
        <w:rPr>
          <w:rFonts w:ascii="Verdana" w:hAnsi="Verdana"/>
        </w:rPr>
      </w:pPr>
      <w:r>
        <w:rPr>
          <w:rFonts w:ascii="Verdana" w:hAnsi="Verdana" w:cs="DejaVu Sans"/>
        </w:rPr>
        <w:t>Em face do exposto, este relator conclui pela</w:t>
      </w:r>
      <w:r>
        <w:rPr>
          <w:rFonts w:ascii="Verdana" w:hAnsi="Verdana"/>
        </w:rPr>
        <w:t xml:space="preserve"> Adequação financeira e orçamentária do Projeto de Lei nº 043/2015.</w:t>
      </w:r>
    </w:p>
    <w:p w:rsidR="00714019" w:rsidRDefault="00714019" w:rsidP="00714019">
      <w:pPr>
        <w:ind w:firstLine="2295"/>
        <w:jc w:val="both"/>
        <w:rPr>
          <w:rFonts w:ascii="Verdana" w:hAnsi="Verdana" w:cs="DejaVu Sans"/>
        </w:rPr>
      </w:pPr>
    </w:p>
    <w:p w:rsidR="00714019" w:rsidRDefault="00714019" w:rsidP="00714019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21 de julho de 2015.</w:t>
      </w:r>
    </w:p>
    <w:p w:rsidR="00714019" w:rsidRDefault="00714019" w:rsidP="00714019">
      <w:pPr>
        <w:ind w:firstLine="2295"/>
        <w:rPr>
          <w:rFonts w:ascii="Verdana" w:hAnsi="Verdana" w:cs="DejaVu Sans"/>
          <w:b/>
          <w:bCs/>
          <w:sz w:val="22"/>
          <w:szCs w:val="22"/>
        </w:rPr>
      </w:pPr>
    </w:p>
    <w:p w:rsidR="00714019" w:rsidRDefault="00714019" w:rsidP="00714019">
      <w:pPr>
        <w:ind w:firstLine="2295"/>
        <w:rPr>
          <w:rFonts w:ascii="Verdana" w:hAnsi="Verdana" w:cs="DejaVu Sans"/>
          <w:b/>
          <w:bCs/>
          <w:sz w:val="22"/>
          <w:szCs w:val="22"/>
        </w:rPr>
      </w:pPr>
    </w:p>
    <w:p w:rsidR="00714019" w:rsidRDefault="00714019" w:rsidP="00714019">
      <w:pPr>
        <w:ind w:firstLine="1843"/>
        <w:rPr>
          <w:rFonts w:ascii="Verdana" w:hAnsi="Verdana" w:cs="DejaVu Sans"/>
        </w:rPr>
      </w:pPr>
      <w:r>
        <w:rPr>
          <w:rFonts w:ascii="Verdana" w:hAnsi="Verdana" w:cs="DejaVu Sans"/>
          <w:b/>
          <w:bCs/>
          <w:sz w:val="22"/>
          <w:szCs w:val="22"/>
        </w:rPr>
        <w:t xml:space="preserve">     </w:t>
      </w:r>
      <w:r>
        <w:rPr>
          <w:rFonts w:ascii="Verdana" w:hAnsi="Verdana" w:cs="DejaVu Sans"/>
          <w:bCs/>
          <w:sz w:val="22"/>
          <w:szCs w:val="22"/>
        </w:rPr>
        <w:t>Joaquim Gonzaga Barbosa</w:t>
      </w:r>
    </w:p>
    <w:p w:rsidR="00714019" w:rsidRDefault="00714019" w:rsidP="00714019">
      <w:pPr>
        <w:ind w:firstLine="1843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Relator-CLJ</w:t>
      </w:r>
    </w:p>
    <w:p w:rsidR="00714019" w:rsidRDefault="00714019" w:rsidP="00714019">
      <w:pPr>
        <w:ind w:firstLine="1843"/>
        <w:rPr>
          <w:rFonts w:ascii="Verdana" w:hAnsi="Verdana" w:cs="DejaVu Sans"/>
        </w:rPr>
      </w:pPr>
    </w:p>
    <w:p w:rsidR="00714019" w:rsidRDefault="00714019" w:rsidP="00714019">
      <w:pPr>
        <w:ind w:firstLine="2295"/>
        <w:rPr>
          <w:rFonts w:ascii="Verdana" w:hAnsi="Verdana" w:cs="DejaVu Sans"/>
        </w:rPr>
      </w:pPr>
    </w:p>
    <w:p w:rsidR="00714019" w:rsidRDefault="00714019" w:rsidP="00714019">
      <w:pPr>
        <w:ind w:firstLine="2295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 O T O S</w:t>
      </w:r>
    </w:p>
    <w:p w:rsidR="00714019" w:rsidRDefault="00714019" w:rsidP="00714019">
      <w:pPr>
        <w:ind w:firstLine="2295"/>
        <w:rPr>
          <w:rFonts w:ascii="Verdana" w:hAnsi="Verdana" w:cs="DejaVu Sans"/>
          <w:u w:val="single"/>
        </w:rPr>
      </w:pPr>
    </w:p>
    <w:p w:rsidR="00714019" w:rsidRDefault="00714019" w:rsidP="00714019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714019" w:rsidRDefault="00714019" w:rsidP="00714019">
      <w:pPr>
        <w:ind w:firstLine="2295"/>
        <w:rPr>
          <w:rFonts w:ascii="Verdana" w:hAnsi="Verdana" w:cs="DejaVu Sans"/>
        </w:rPr>
      </w:pPr>
    </w:p>
    <w:p w:rsidR="00714019" w:rsidRDefault="00714019" w:rsidP="00714019">
      <w:pPr>
        <w:ind w:firstLine="2295"/>
        <w:rPr>
          <w:rFonts w:ascii="Verdana" w:hAnsi="Verdana" w:cs="DejaVu Sans"/>
        </w:rPr>
      </w:pPr>
    </w:p>
    <w:p w:rsidR="00714019" w:rsidRDefault="00714019" w:rsidP="00714019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Milton Maurício Martins</w:t>
      </w:r>
    </w:p>
    <w:p w:rsidR="00714019" w:rsidRDefault="00714019" w:rsidP="00714019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714019" w:rsidRDefault="00714019" w:rsidP="00714019">
      <w:pPr>
        <w:ind w:firstLine="2295"/>
        <w:rPr>
          <w:rFonts w:ascii="Verdana" w:hAnsi="Verdana" w:cs="DejaVu Sans"/>
        </w:rPr>
      </w:pPr>
    </w:p>
    <w:p w:rsidR="00714019" w:rsidRDefault="00714019" w:rsidP="00714019">
      <w:pPr>
        <w:ind w:firstLine="2295"/>
        <w:rPr>
          <w:rFonts w:ascii="Verdana" w:hAnsi="Verdana" w:cs="DejaVu Sans"/>
        </w:rPr>
      </w:pPr>
    </w:p>
    <w:p w:rsidR="00714019" w:rsidRDefault="00714019" w:rsidP="00714019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714019" w:rsidRDefault="00714019" w:rsidP="00714019">
      <w:pPr>
        <w:ind w:firstLine="2295"/>
      </w:pPr>
      <w:r>
        <w:rPr>
          <w:rFonts w:ascii="Verdana" w:hAnsi="Verdana" w:cs="DejaVu Sans"/>
        </w:rPr>
        <w:t>Vereadora</w:t>
      </w:r>
    </w:p>
    <w:p w:rsidR="00CA6195" w:rsidRDefault="00CA6195"/>
    <w:sectPr w:rsidR="00CA6195" w:rsidSect="00CA6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/>
  <w:rsids>
    <w:rsidRoot w:val="00714019"/>
    <w:rsid w:val="00196F01"/>
    <w:rsid w:val="00714019"/>
    <w:rsid w:val="007C7DF0"/>
    <w:rsid w:val="00CA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01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2015-07-21T18:49:00Z</dcterms:created>
  <dcterms:modified xsi:type="dcterms:W3CDTF">2015-07-21T18:49:00Z</dcterms:modified>
</cp:coreProperties>
</file>