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5397500" cy="111887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7500" cy="1118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</w:p>
    <w:p>
      <w:pPr>
        <w:pStyle w:val="style0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</w:pPr>
      <w:r>
        <w:rPr>
          <w:rFonts w:ascii="Verdana" w:cs="DejaVu Sans" w:eastAsia="DejaVu Sans" w:hAnsi="Verdana"/>
          <w:b/>
          <w:bCs/>
          <w:sz w:val="28"/>
          <w:szCs w:val="28"/>
        </w:rPr>
      </w:r>
    </w:p>
    <w:p>
      <w:pPr>
        <w:pStyle w:val="style0"/>
        <w:jc w:val="both"/>
      </w:pPr>
      <w:r>
        <w:rPr>
          <w:rFonts w:ascii="Verdana" w:cs="DejaVu Sans" w:eastAsia="DejaVu Sans" w:hAnsi="Verdana"/>
          <w:b/>
          <w:bCs/>
          <w:sz w:val="28"/>
          <w:szCs w:val="28"/>
        </w:rPr>
        <w:t xml:space="preserve">MATÉRIA: </w:t>
      </w:r>
      <w:r>
        <w:rPr>
          <w:rFonts w:ascii="Verdana" w:cs="DejaVu Sans" w:eastAsia="DejaVu Sans" w:hAnsi="Verdana"/>
          <w:bCs/>
          <w:sz w:val="24"/>
          <w:szCs w:val="24"/>
        </w:rPr>
        <w:t>Antep</w:t>
      </w:r>
      <w:r>
        <w:rPr>
          <w:rFonts w:ascii="Verdana" w:cs="DejaVu Sans" w:eastAsia="DejaVu Sans" w:hAnsi="Verdana"/>
          <w:sz w:val="24"/>
          <w:szCs w:val="24"/>
        </w:rPr>
        <w:t xml:space="preserve">rojeto de Lei nº 041/2015 que “Cria o Serviço Social Escolar – SSE e dá outras providências”. 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eastAsia="DejaVu Sans" w:hAnsi="Verdana"/>
          <w:b/>
          <w:bCs/>
          <w:sz w:val="28"/>
          <w:szCs w:val="28"/>
        </w:rPr>
        <w:t>AUTOR:</w:t>
      </w:r>
      <w:r>
        <w:rPr>
          <w:rFonts w:ascii="Verdana" w:cs="DejaVu Sans" w:eastAsia="DejaVu Sans" w:hAnsi="Verdana"/>
          <w:sz w:val="28"/>
          <w:szCs w:val="28"/>
        </w:rPr>
        <w:t xml:space="preserve"> </w:t>
      </w:r>
      <w:r>
        <w:rPr>
          <w:rFonts w:ascii="Verdana" w:cs="DejaVu Sans" w:eastAsia="DejaVu Sans" w:hAnsi="Verdana"/>
          <w:sz w:val="24"/>
          <w:szCs w:val="24"/>
        </w:rPr>
        <w:t>Vereador Fabrício Nascimento.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A proposição acima referenciada, cuja autoria pertence a membro desta edilidade, visa a criar um órgão municipal, o Serviço Social Escolar, cuja competência, dentre outras, é a realização de pesquisas socioeconômicas e familiares na comunidade escolar, a fim de realizar diagnósticos destinados ao estabelecimento de políticas públicas junto a população escolar.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A proposição foi distribuída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Presentes à reunião o Vereador Marcelo Pires Rodrigues (presidente), o Vereador Dalton Antônio de Avelar Andrade (relator) e o Vereador Euro de Andrade Lanza, além de membros da Procuradoria Geral do Legislativo, o Consultor Jurídico,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No caso em discussão, temos a instituição de um novo órgão municipal, o Serviço Social Escolar, que se dedicará a oferecer aos alunos da rede municipal de ensino um novo serviço de auxílio que exceda o que já é ofertado pelas unidades de ensino municipais. O sugerido Serviço incumbir-se-á de realizar diagnósticos a fim de planejar e programar políticas públicas destinadas a comunidade escolar.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jc w:val="both"/>
      </w:pPr>
      <w:r>
        <w:rPr/>
        <w:t xml:space="preserve">                                              </w:t>
      </w:r>
      <w:r>
        <w:rPr>
          <w:rFonts w:ascii="Verdana" w:cs="DejaVu Sans" w:eastAsia="DejaVu Sans" w:hAnsi="Verdana"/>
          <w:sz w:val="22"/>
          <w:szCs w:val="22"/>
        </w:rPr>
        <w:t>Acerca da matéria, assim dispõe o inciso II do art. 76 da Lei Orgânica do Município: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“</w:t>
      </w:r>
      <w:r>
        <w:rPr>
          <w:rFonts w:ascii="Verdana" w:cs="DejaVu Sans" w:eastAsia="DejaVu Sans" w:hAnsi="Verdana"/>
          <w:sz w:val="22"/>
          <w:szCs w:val="22"/>
        </w:rPr>
        <w:t>Art. 76 São de iniciativa privativa do Prefeito as leis que disponham sobre:</w:t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397500" cy="111887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7500" cy="1118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(...)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 xml:space="preserve">II- a organização administrativa, matéria tributária e orçamentária e serviços públicos;”.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A matéria, portanto, refere-se à organização administrativa do Município, tendo reflexos orçamentários,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uma vez que estamos tratando da criação de um novo órgão municipal.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Nesses termos, tendo em vista o art. 76 da LOM supra, e por estar diante de matéria cuja iniciativa de lei é reservada ao Chefe do Poder Executivo, entendo que a presente proposição é apresentada de forma correta, tramitando como anteprojeto  e, como tal, constitui-se numa sugestão que é dada ao Prefeito Municipal. Uma vez entendendo ser de interesse público e feitas as devidas adequações, o Executivo Municipal transformará o anteprojeto em projeto de lei, encaminhando-o oportunamente à apreciação desta Casa de Leis.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Quanto ao aspecto material, nada vejo na proposição que possa ferir o ordenamento jurídico pátrio.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 xml:space="preserve">Em face do exposto, este relator conclui pela </w:t>
      </w:r>
      <w:r>
        <w:rPr>
          <w:rFonts w:ascii="Verdana" w:hAnsi="Verdana"/>
          <w:sz w:val="22"/>
          <w:szCs w:val="22"/>
        </w:rPr>
        <w:t>legalidade, constitucionalidade  e  juridicidade do Anteprojeto de Lei  nº 041/2015.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  <w:t>Sala das Reuniões, 30 de abril de 2015.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2015-05-04T20:54:00.00Z</dcterms:created>
  <dc:creator>Usuario</dc:creator>
  <cp:lastModifiedBy>Usuario</cp:lastModifiedBy>
  <cp:lastPrinted>2015-05-05T13:52:31.42Z</cp:lastPrinted>
  <dcterms:modified xsi:type="dcterms:W3CDTF">2015-05-04T21:14:00.00Z</dcterms:modified>
  <cp:revision>5</cp:revision>
</cp:coreProperties>
</file>