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64" w:rsidRDefault="003B4864" w:rsidP="003B4864">
      <w:pPr>
        <w:ind w:firstLine="20"/>
        <w:jc w:val="center"/>
        <w:rPr>
          <w:rFonts w:ascii="Verdana" w:hAnsi="Verdana"/>
          <w:sz w:val="32"/>
          <w:szCs w:val="32"/>
        </w:rPr>
      </w:pPr>
      <w:r>
        <w:object w:dxaOrig="9074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35pt;height:60.55pt" o:ole="" o:bordertopcolor="black" o:borderleftcolor="black" o:borderbottomcolor="black" o:borderrightcolor="black" filled="t">
            <v:fill color2="black"/>
            <v:imagedata r:id="rId4" o:title=""/>
            <w10:bordertop type="single" width="4" space="3"/>
            <w10:borderleft type="single" width="4" space="7"/>
            <w10:borderbottom type="single" width="4" space="3"/>
            <w10:borderright type="single" width="4" space="7"/>
          </v:shape>
          <o:OLEObject Type="Embed" ProgID="PBrush" ShapeID="_x0000_i1025" DrawAspect="Content" ObjectID="_1488897823" r:id="rId5"/>
        </w:object>
      </w:r>
      <w:r>
        <w:rPr>
          <w:rFonts w:ascii="Verdana" w:hAnsi="Verdana"/>
        </w:rPr>
        <w:t xml:space="preserve">                              </w:t>
      </w:r>
      <w:r>
        <w:rPr>
          <w:rFonts w:ascii="Verdana" w:hAnsi="Verdana"/>
          <w:sz w:val="32"/>
          <w:szCs w:val="32"/>
        </w:rPr>
        <w:t xml:space="preserve">                           </w:t>
      </w:r>
    </w:p>
    <w:p w:rsidR="003B4864" w:rsidRDefault="003B4864" w:rsidP="003B4864">
      <w:pPr>
        <w:rPr>
          <w:rFonts w:ascii="Verdana" w:hAnsi="Verdana" w:cs="DejaVu Sans"/>
          <w:b/>
          <w:bCs/>
          <w:sz w:val="28"/>
          <w:szCs w:val="28"/>
        </w:rPr>
      </w:pPr>
    </w:p>
    <w:p w:rsidR="003B4864" w:rsidRDefault="003B4864" w:rsidP="003B4864">
      <w:pPr>
        <w:rPr>
          <w:rFonts w:ascii="Verdana" w:hAnsi="Verdana" w:cs="DejaVu Sans"/>
          <w:b/>
          <w:bCs/>
          <w:sz w:val="28"/>
          <w:szCs w:val="28"/>
        </w:rPr>
      </w:pPr>
      <w:r>
        <w:rPr>
          <w:rFonts w:ascii="Verdana" w:hAnsi="Verdana" w:cs="DejaVu Sans"/>
          <w:b/>
          <w:bCs/>
          <w:sz w:val="28"/>
          <w:szCs w:val="28"/>
        </w:rPr>
        <w:t>PARECER REGIMENTAL</w:t>
      </w:r>
    </w:p>
    <w:p w:rsidR="003B4864" w:rsidRDefault="003B4864" w:rsidP="003B4864">
      <w:pPr>
        <w:rPr>
          <w:rFonts w:ascii="Verdana" w:hAnsi="Verdana" w:cs="DejaVu Sans"/>
          <w:b/>
          <w:bCs/>
          <w:sz w:val="28"/>
          <w:szCs w:val="28"/>
        </w:rPr>
      </w:pPr>
    </w:p>
    <w:p w:rsidR="003B4864" w:rsidRDefault="003B4864" w:rsidP="003B4864">
      <w:pPr>
        <w:rPr>
          <w:rFonts w:ascii="Verdana" w:hAnsi="Verdana" w:cs="DejaVu Sans"/>
          <w:b/>
          <w:bCs/>
          <w:sz w:val="28"/>
          <w:szCs w:val="28"/>
        </w:rPr>
      </w:pPr>
      <w:r>
        <w:rPr>
          <w:rFonts w:ascii="Verdana" w:hAnsi="Verdana" w:cs="DejaVu Sans"/>
          <w:b/>
          <w:bCs/>
          <w:sz w:val="28"/>
          <w:szCs w:val="28"/>
        </w:rPr>
        <w:t>COMISSÃO DE LEGISLAÇÃO E JUSTIÇA</w:t>
      </w:r>
      <w:r w:rsidR="009F4791">
        <w:rPr>
          <w:rFonts w:ascii="Verdana" w:hAnsi="Verdana" w:cs="DejaVu Sans"/>
          <w:b/>
          <w:bCs/>
          <w:sz w:val="28"/>
          <w:szCs w:val="28"/>
        </w:rPr>
        <w:t>-CLJ</w:t>
      </w:r>
    </w:p>
    <w:p w:rsidR="003B4864" w:rsidRDefault="003B4864" w:rsidP="003B4864">
      <w:pPr>
        <w:jc w:val="both"/>
      </w:pPr>
    </w:p>
    <w:p w:rsidR="003B4864" w:rsidRDefault="003B4864" w:rsidP="003B4864">
      <w:pPr>
        <w:jc w:val="both"/>
        <w:rPr>
          <w:rFonts w:ascii="Verdana" w:hAnsi="Verdana" w:cs="DejaVu Sans"/>
          <w:sz w:val="28"/>
          <w:szCs w:val="28"/>
        </w:rPr>
      </w:pPr>
      <w:r>
        <w:rPr>
          <w:rFonts w:ascii="Verdana" w:hAnsi="Verdana" w:cs="DejaVu Sans"/>
          <w:b/>
          <w:bCs/>
          <w:sz w:val="28"/>
          <w:szCs w:val="28"/>
        </w:rPr>
        <w:t>MATÉRIA:</w:t>
      </w:r>
      <w:r w:rsidR="009F4791">
        <w:rPr>
          <w:rFonts w:ascii="Verdana" w:hAnsi="Verdana" w:cs="DejaVu Sans"/>
          <w:sz w:val="28"/>
          <w:szCs w:val="28"/>
        </w:rPr>
        <w:t xml:space="preserve"> Anteprojeto de Lei nº 016/2015</w:t>
      </w:r>
      <w:r>
        <w:rPr>
          <w:rFonts w:ascii="Verdana" w:hAnsi="Verdana" w:cs="DejaVu Sans"/>
          <w:sz w:val="28"/>
          <w:szCs w:val="28"/>
        </w:rPr>
        <w:t xml:space="preserve"> – “Institui o Programa </w:t>
      </w:r>
      <w:r w:rsidR="009F4791">
        <w:rPr>
          <w:rFonts w:ascii="Verdana" w:hAnsi="Verdana" w:cs="DejaVu Sans"/>
          <w:sz w:val="28"/>
          <w:szCs w:val="28"/>
        </w:rPr>
        <w:t>Municipal de Incentivo à Leitura e dá outras providências”.</w:t>
      </w:r>
    </w:p>
    <w:p w:rsidR="003B4864" w:rsidRDefault="003B4864" w:rsidP="003B4864">
      <w:pPr>
        <w:jc w:val="both"/>
      </w:pPr>
    </w:p>
    <w:p w:rsidR="003B4864" w:rsidRDefault="003B4864" w:rsidP="003B4864">
      <w:pPr>
        <w:jc w:val="both"/>
        <w:rPr>
          <w:rFonts w:ascii="Verdana" w:hAnsi="Verdana" w:cs="DejaVu Sans"/>
          <w:sz w:val="28"/>
          <w:szCs w:val="28"/>
        </w:rPr>
      </w:pPr>
      <w:r>
        <w:rPr>
          <w:rFonts w:ascii="Verdana" w:hAnsi="Verdana" w:cs="DejaVu Sans"/>
          <w:b/>
          <w:bCs/>
          <w:sz w:val="28"/>
          <w:szCs w:val="28"/>
        </w:rPr>
        <w:t>AUTOR:</w:t>
      </w:r>
      <w:r w:rsidR="009F4791">
        <w:rPr>
          <w:rFonts w:ascii="Verdana" w:hAnsi="Verdana" w:cs="DejaVu Sans"/>
          <w:sz w:val="28"/>
          <w:szCs w:val="28"/>
        </w:rPr>
        <w:t xml:space="preserve"> Vereador</w:t>
      </w:r>
      <w:r>
        <w:rPr>
          <w:rFonts w:ascii="Verdana" w:hAnsi="Verdana" w:cs="DejaVu Sans"/>
          <w:sz w:val="28"/>
          <w:szCs w:val="28"/>
        </w:rPr>
        <w:t xml:space="preserve"> </w:t>
      </w:r>
      <w:r w:rsidR="009F4791">
        <w:rPr>
          <w:rFonts w:ascii="Verdana" w:hAnsi="Verdana" w:cs="DejaVu Sans"/>
          <w:sz w:val="28"/>
          <w:szCs w:val="28"/>
        </w:rPr>
        <w:t>Dalton Antônio de Avelar Andrade.</w:t>
      </w:r>
    </w:p>
    <w:p w:rsidR="003B4864" w:rsidRDefault="003B4864" w:rsidP="003B4864">
      <w:pPr>
        <w:jc w:val="both"/>
        <w:rPr>
          <w:rFonts w:ascii="Verdana" w:hAnsi="Verdana" w:cs="DejaVu Sans"/>
          <w:sz w:val="26"/>
          <w:szCs w:val="26"/>
        </w:rPr>
      </w:pPr>
      <w:r>
        <w:rPr>
          <w:rFonts w:ascii="Verdana" w:hAnsi="Verdana" w:cs="DejaVu Sans"/>
          <w:sz w:val="26"/>
          <w:szCs w:val="26"/>
        </w:rPr>
        <w:t>___________________________________________________</w:t>
      </w:r>
    </w:p>
    <w:p w:rsidR="003B4864" w:rsidRDefault="003B4864" w:rsidP="003B4864">
      <w:pPr>
        <w:rPr>
          <w:rFonts w:ascii="Verdana" w:hAnsi="Verdana" w:cs="DejaVu Sans"/>
          <w:sz w:val="26"/>
          <w:szCs w:val="26"/>
        </w:rPr>
      </w:pPr>
    </w:p>
    <w:p w:rsidR="003B4864" w:rsidRDefault="003B4864" w:rsidP="003B4864">
      <w:pPr>
        <w:ind w:firstLine="2295"/>
        <w:jc w:val="both"/>
        <w:rPr>
          <w:rFonts w:ascii="Verdana" w:hAnsi="Verdana" w:cs="DejaVu Sans"/>
          <w:sz w:val="26"/>
          <w:szCs w:val="26"/>
          <w:u w:val="single"/>
        </w:rPr>
      </w:pPr>
      <w:r>
        <w:rPr>
          <w:rFonts w:ascii="Verdana" w:hAnsi="Verdana" w:cs="DejaVu Sans"/>
          <w:sz w:val="26"/>
          <w:szCs w:val="26"/>
          <w:u w:val="single"/>
        </w:rPr>
        <w:t>Relatório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  <w:sz w:val="26"/>
          <w:szCs w:val="26"/>
          <w:u w:val="single"/>
        </w:rPr>
      </w:pPr>
    </w:p>
    <w:p w:rsidR="003B4864" w:rsidRDefault="003B4864" w:rsidP="003B4864">
      <w:pPr>
        <w:ind w:firstLine="2295"/>
        <w:jc w:val="both"/>
        <w:rPr>
          <w:rFonts w:ascii="Verdana" w:hAnsi="Verdana" w:cs="DejaVu Sans"/>
          <w:sz w:val="26"/>
          <w:szCs w:val="26"/>
        </w:rPr>
      </w:pPr>
      <w:r>
        <w:rPr>
          <w:rFonts w:ascii="Verdana" w:hAnsi="Verdana" w:cs="DejaVu Sans"/>
          <w:sz w:val="26"/>
          <w:szCs w:val="26"/>
        </w:rPr>
        <w:t>A proposição em epígrafe, cuja autoria pertence a membro desta edilidade, visa a criar um programa a s</w:t>
      </w:r>
      <w:r w:rsidR="009F4791">
        <w:rPr>
          <w:rFonts w:ascii="Verdana" w:hAnsi="Verdana" w:cs="DejaVu Sans"/>
          <w:sz w:val="26"/>
          <w:szCs w:val="26"/>
        </w:rPr>
        <w:t>er desenvolvido pelo Executivo M</w:t>
      </w:r>
      <w:r>
        <w:rPr>
          <w:rFonts w:ascii="Verdana" w:hAnsi="Verdana" w:cs="DejaVu Sans"/>
          <w:sz w:val="26"/>
          <w:szCs w:val="26"/>
        </w:rPr>
        <w:t xml:space="preserve">unicipal, cujo objetivo é </w:t>
      </w:r>
      <w:r w:rsidR="009F4791">
        <w:rPr>
          <w:rFonts w:ascii="Verdana" w:hAnsi="Verdana" w:cs="DejaVu Sans"/>
          <w:sz w:val="26"/>
          <w:szCs w:val="26"/>
        </w:rPr>
        <w:t>estimular o hábito da leitura entre estudantes com o fito de desenvolver a capacidade cognitiva, interpretação dos fatos passados e presentes, bem como a habilidade em desenvolver a escrita.</w:t>
      </w:r>
    </w:p>
    <w:p w:rsidR="003B4864" w:rsidRDefault="009F4791" w:rsidP="003B4864">
      <w:pPr>
        <w:ind w:firstLine="2295"/>
        <w:jc w:val="both"/>
        <w:rPr>
          <w:rFonts w:ascii="Verdana" w:hAnsi="Verdana" w:cs="DejaVu Sans"/>
          <w:sz w:val="26"/>
          <w:szCs w:val="26"/>
        </w:rPr>
      </w:pPr>
      <w:r>
        <w:rPr>
          <w:rFonts w:ascii="Verdana" w:hAnsi="Verdana" w:cs="DejaVu Sans"/>
          <w:sz w:val="26"/>
          <w:szCs w:val="26"/>
        </w:rPr>
        <w:t>O anteprojeto foi distribuído</w:t>
      </w:r>
      <w:r w:rsidR="003B4864">
        <w:rPr>
          <w:rFonts w:ascii="Verdana" w:hAnsi="Verdana" w:cs="DejaVu Sans"/>
          <w:sz w:val="26"/>
          <w:szCs w:val="26"/>
        </w:rPr>
        <w:t xml:space="preserve"> nesta data a esta Comissão de Legislação e Justiça para receber parecer quanto aos aspectos de sua juridicidade, constitucionalidade e legalidade, nos termos do disposto no art. 169 c/c art. 69 e § 1º do art. 83 do Regimento Interno.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  <w:sz w:val="26"/>
          <w:szCs w:val="26"/>
        </w:rPr>
      </w:pPr>
      <w:r>
        <w:rPr>
          <w:rFonts w:ascii="Verdana" w:hAnsi="Verdana" w:cs="DejaVu Sans"/>
          <w:sz w:val="26"/>
          <w:szCs w:val="26"/>
        </w:rPr>
        <w:t>Presentes à reunião o Vereador Marcelo Pires Rodrigues (presidente), o Vereador Dalton Antônio de Avelar Andrade (relator)</w:t>
      </w:r>
      <w:r w:rsidR="009F4791">
        <w:rPr>
          <w:rFonts w:ascii="Verdana" w:hAnsi="Verdana" w:cs="DejaVu Sans"/>
          <w:sz w:val="26"/>
          <w:szCs w:val="26"/>
        </w:rPr>
        <w:t xml:space="preserve"> que </w:t>
      </w:r>
      <w:proofErr w:type="gramStart"/>
      <w:r w:rsidR="009F4791">
        <w:rPr>
          <w:rFonts w:ascii="Verdana" w:hAnsi="Verdana" w:cs="DejaVu Sans"/>
          <w:sz w:val="26"/>
          <w:szCs w:val="26"/>
        </w:rPr>
        <w:t>absteve-se</w:t>
      </w:r>
      <w:proofErr w:type="gramEnd"/>
      <w:r w:rsidR="009F4791">
        <w:rPr>
          <w:rFonts w:ascii="Verdana" w:hAnsi="Verdana" w:cs="DejaVu Sans"/>
          <w:sz w:val="26"/>
          <w:szCs w:val="26"/>
        </w:rPr>
        <w:t xml:space="preserve"> de relatar e votar a matéria por ser o autor da mesma,</w:t>
      </w:r>
      <w:r>
        <w:rPr>
          <w:rFonts w:ascii="Verdana" w:hAnsi="Verdana" w:cs="DejaVu Sans"/>
          <w:sz w:val="26"/>
          <w:szCs w:val="26"/>
        </w:rPr>
        <w:t xml:space="preserve"> e o Vereado</w:t>
      </w:r>
      <w:r w:rsidR="009F4791">
        <w:rPr>
          <w:rFonts w:ascii="Verdana" w:hAnsi="Verdana" w:cs="DejaVu Sans"/>
          <w:sz w:val="26"/>
          <w:szCs w:val="26"/>
        </w:rPr>
        <w:t>r Euro de Andrade Lanza que assumiu a relatoria dos trabalhos. Presentes também os membros da</w:t>
      </w:r>
      <w:r>
        <w:rPr>
          <w:rFonts w:ascii="Verdana" w:hAnsi="Verdana" w:cs="DejaVu Sans"/>
          <w:sz w:val="26"/>
          <w:szCs w:val="26"/>
        </w:rPr>
        <w:t xml:space="preserve"> Procurador</w:t>
      </w:r>
      <w:r w:rsidR="009F4791">
        <w:rPr>
          <w:rFonts w:ascii="Verdana" w:hAnsi="Verdana" w:cs="DejaVu Sans"/>
          <w:sz w:val="26"/>
          <w:szCs w:val="26"/>
        </w:rPr>
        <w:t>ia</w:t>
      </w:r>
      <w:r>
        <w:rPr>
          <w:rFonts w:ascii="Verdana" w:hAnsi="Verdana" w:cs="DejaVu Sans"/>
          <w:sz w:val="26"/>
          <w:szCs w:val="26"/>
        </w:rPr>
        <w:t xml:space="preserve"> Geral do Legislativo, assessores de gabinetes e munícipes.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  <w:sz w:val="26"/>
          <w:szCs w:val="26"/>
        </w:rPr>
      </w:pPr>
    </w:p>
    <w:p w:rsidR="003B4864" w:rsidRDefault="003B4864" w:rsidP="003B4864">
      <w:pPr>
        <w:ind w:firstLine="2295"/>
        <w:jc w:val="both"/>
        <w:rPr>
          <w:rFonts w:ascii="Verdana" w:hAnsi="Verdana" w:cs="DejaVu Sans"/>
          <w:sz w:val="26"/>
          <w:szCs w:val="26"/>
          <w:u w:val="single"/>
        </w:rPr>
      </w:pPr>
      <w:r>
        <w:rPr>
          <w:rFonts w:ascii="Verdana" w:hAnsi="Verdana" w:cs="DejaVu Sans"/>
          <w:sz w:val="26"/>
          <w:szCs w:val="26"/>
          <w:u w:val="single"/>
        </w:rPr>
        <w:t>Fundamentação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  <w:sz w:val="26"/>
          <w:szCs w:val="26"/>
          <w:u w:val="single"/>
        </w:rPr>
      </w:pPr>
    </w:p>
    <w:p w:rsidR="003B4864" w:rsidRDefault="003B4864" w:rsidP="003B4864">
      <w:pPr>
        <w:ind w:firstLine="2295"/>
        <w:jc w:val="both"/>
        <w:rPr>
          <w:rFonts w:ascii="Verdana" w:hAnsi="Verdana" w:cs="DejaVu Sans"/>
          <w:sz w:val="26"/>
          <w:szCs w:val="26"/>
        </w:rPr>
      </w:pPr>
      <w:r>
        <w:rPr>
          <w:rFonts w:ascii="Verdana" w:hAnsi="Verdana" w:cs="DejaVu Sans"/>
          <w:sz w:val="26"/>
          <w:szCs w:val="26"/>
        </w:rPr>
        <w:t xml:space="preserve">Em decorrência do princípio da simetria das formas, informador do Direito Constitucional Brasileiro, impõe-se ao Poder Legislativo, em todos os níveis federativos, </w:t>
      </w:r>
      <w:proofErr w:type="gramStart"/>
      <w:r>
        <w:rPr>
          <w:rFonts w:ascii="Verdana" w:hAnsi="Verdana" w:cs="DejaVu Sans"/>
          <w:sz w:val="26"/>
          <w:szCs w:val="26"/>
        </w:rPr>
        <w:t>respeitar</w:t>
      </w:r>
      <w:proofErr w:type="gramEnd"/>
      <w:r>
        <w:rPr>
          <w:rFonts w:ascii="Verdana" w:hAnsi="Verdana" w:cs="DejaVu Sans"/>
          <w:sz w:val="26"/>
          <w:szCs w:val="26"/>
        </w:rPr>
        <w:t xml:space="preserve"> </w:t>
      </w:r>
    </w:p>
    <w:p w:rsidR="003B4864" w:rsidRDefault="003B4864" w:rsidP="003B4864">
      <w:pPr>
        <w:ind w:firstLine="645"/>
        <w:jc w:val="both"/>
        <w:rPr>
          <w:rFonts w:ascii="Verdana" w:hAnsi="Verdana" w:cs="DejaVu Sans"/>
          <w:sz w:val="26"/>
          <w:szCs w:val="26"/>
        </w:rPr>
      </w:pPr>
      <w:r>
        <w:object w:dxaOrig="9074" w:dyaOrig="1815">
          <v:shape id="_x0000_i1026" type="#_x0000_t75" style="width:364.35pt;height:60.55pt" o:ole="" o:bordertopcolor="black" o:borderleftcolor="black" o:borderbottomcolor="black" o:borderrightcolor="black" filled="t">
            <v:fill color2="black"/>
            <v:imagedata r:id="rId4" o:title=""/>
            <w10:bordertop type="single" width="4" space="3"/>
            <w10:borderleft type="single" width="4" space="7"/>
            <w10:borderbottom type="single" width="4" space="3"/>
            <w10:borderright type="single" width="4" space="7"/>
          </v:shape>
          <o:OLEObject Type="Embed" ProgID="PBrush" ShapeID="_x0000_i1026" DrawAspect="Content" ObjectID="_1488897824" r:id="rId6"/>
        </w:object>
      </w:r>
    </w:p>
    <w:p w:rsidR="003B4864" w:rsidRDefault="003B4864" w:rsidP="003B4864">
      <w:pPr>
        <w:jc w:val="both"/>
        <w:rPr>
          <w:rFonts w:ascii="Verdana" w:hAnsi="Verdana" w:cs="DejaVu Sans"/>
          <w:sz w:val="26"/>
          <w:szCs w:val="26"/>
        </w:rPr>
      </w:pPr>
    </w:p>
    <w:p w:rsidR="003B4864" w:rsidRDefault="003B4864" w:rsidP="003B4864">
      <w:pPr>
        <w:jc w:val="both"/>
        <w:rPr>
          <w:rFonts w:ascii="Verdana" w:hAnsi="Verdana" w:cs="DejaVu Sans"/>
        </w:rPr>
      </w:pPr>
      <w:proofErr w:type="gramStart"/>
      <w:r>
        <w:rPr>
          <w:rFonts w:ascii="Verdana" w:hAnsi="Verdana" w:cs="DejaVu Sans"/>
        </w:rPr>
        <w:t>as</w:t>
      </w:r>
      <w:proofErr w:type="gramEnd"/>
      <w:r>
        <w:rPr>
          <w:rFonts w:ascii="Verdana" w:hAnsi="Verdana" w:cs="DejaVu Sans"/>
        </w:rPr>
        <w:t xml:space="preserve"> balizas a sua iniciativa </w:t>
      </w:r>
      <w:proofErr w:type="spellStart"/>
      <w:r>
        <w:rPr>
          <w:rFonts w:ascii="Verdana" w:hAnsi="Verdana" w:cs="DejaVu Sans"/>
        </w:rPr>
        <w:t>legiferante</w:t>
      </w:r>
      <w:proofErr w:type="spellEnd"/>
      <w:r>
        <w:rPr>
          <w:rFonts w:ascii="Verdana" w:hAnsi="Verdana" w:cs="DejaVu Sans"/>
        </w:rPr>
        <w:t xml:space="preserve"> estabelecidas pelo art.  61, § 1º, I e II, reafirmadas, por sua vez, pelo art. 84, III, todos da</w:t>
      </w:r>
      <w:r w:rsidR="009F4791">
        <w:rPr>
          <w:rFonts w:ascii="Verdana" w:hAnsi="Verdana" w:cs="DejaVu Sans"/>
        </w:rPr>
        <w:t xml:space="preserve"> </w:t>
      </w:r>
      <w:r>
        <w:rPr>
          <w:rFonts w:ascii="Verdana" w:hAnsi="Verdana" w:cs="DejaVu Sans"/>
        </w:rPr>
        <w:t>Constituição da República.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 xml:space="preserve">Nessa linha, sucede que a criação de programas e projetos de governo é primazia do Chefe do Poder Executivo, pela aplicação conjugada das regras introduzidas pelos </w:t>
      </w:r>
      <w:proofErr w:type="spellStart"/>
      <w:r>
        <w:rPr>
          <w:rFonts w:ascii="Verdana" w:hAnsi="Verdana" w:cs="DejaVu Sans"/>
        </w:rPr>
        <w:t>arts</w:t>
      </w:r>
      <w:proofErr w:type="spellEnd"/>
      <w:r>
        <w:rPr>
          <w:rFonts w:ascii="Verdana" w:hAnsi="Verdana" w:cs="DejaVu Sans"/>
        </w:rPr>
        <w:t>. 61, § 1º, II, “e”, e 84, II e III,</w:t>
      </w:r>
      <w:proofErr w:type="gramStart"/>
      <w:r>
        <w:rPr>
          <w:rFonts w:ascii="Verdana" w:hAnsi="Verdana" w:cs="DejaVu Sans"/>
        </w:rPr>
        <w:t xml:space="preserve">  </w:t>
      </w:r>
      <w:proofErr w:type="gramEnd"/>
      <w:r>
        <w:rPr>
          <w:rFonts w:ascii="Verdana" w:hAnsi="Verdana" w:cs="DejaVu Sans"/>
        </w:rPr>
        <w:t>da Carta   Federal.    Isso</w:t>
      </w:r>
      <w:proofErr w:type="gramStart"/>
      <w:r>
        <w:rPr>
          <w:rFonts w:ascii="Verdana" w:hAnsi="Verdana" w:cs="DejaVu Sans"/>
        </w:rPr>
        <w:t xml:space="preserve">  </w:t>
      </w:r>
      <w:proofErr w:type="gramEnd"/>
      <w:r>
        <w:rPr>
          <w:rFonts w:ascii="Verdana" w:hAnsi="Verdana" w:cs="DejaVu Sans"/>
        </w:rPr>
        <w:t xml:space="preserve">porque   essa prerrogativa deságua na criação e atribuição de tarefas adicionais para os órgãos que compõem a estrutura da Prefeitura, o  que  é  defeso ao Poder Legislativo, a bem da preservação do princípio basilar da independência e harmonia entre os Poderes.  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 xml:space="preserve">Portanto, a presente proposição encaminhada sob a forma de anteprojeto atende perfeitamente os ditames constitucionais, posto que </w:t>
      </w:r>
      <w:proofErr w:type="gramStart"/>
      <w:r>
        <w:rPr>
          <w:rFonts w:ascii="Verdana" w:hAnsi="Verdana" w:cs="DejaVu Sans"/>
        </w:rPr>
        <w:t>respeita</w:t>
      </w:r>
      <w:proofErr w:type="gramEnd"/>
      <w:r>
        <w:rPr>
          <w:rFonts w:ascii="Verdana" w:hAnsi="Verdana" w:cs="DejaVu Sans"/>
        </w:rPr>
        <w:t xml:space="preserve"> a reserva legal da iniciativa do Poder Executivo, no que tange à matéria então versada.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>Acrescente-se também que a matéria apresentada está adequada ao ordenamento jurídico pátrio.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</w:p>
    <w:p w:rsidR="003B4864" w:rsidRDefault="003B4864" w:rsidP="003B4864">
      <w:pPr>
        <w:jc w:val="both"/>
        <w:rPr>
          <w:rFonts w:ascii="Verdana" w:hAnsi="Verdana" w:cs="DejaVu Sans"/>
          <w:u w:val="single"/>
        </w:rPr>
      </w:pPr>
      <w:r>
        <w:rPr>
          <w:rFonts w:ascii="Verdana" w:hAnsi="Verdana" w:cs="DejaVu Sans"/>
        </w:rPr>
        <w:t xml:space="preserve">                            </w:t>
      </w:r>
      <w:r>
        <w:rPr>
          <w:rFonts w:ascii="Verdana" w:hAnsi="Verdana" w:cs="DejaVu Sans"/>
          <w:u w:val="single"/>
        </w:rPr>
        <w:t>Conclusão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  <w:u w:val="single"/>
        </w:rPr>
      </w:pP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>Em face do exposto, este relator conclui pela juridicidade, constitucionalidade e legalid</w:t>
      </w:r>
      <w:r w:rsidR="009F4791">
        <w:rPr>
          <w:rFonts w:ascii="Verdana" w:hAnsi="Verdana" w:cs="DejaVu Sans"/>
        </w:rPr>
        <w:t>ade do Anteprojeto de Lei nº 016/2015</w:t>
      </w:r>
      <w:r>
        <w:rPr>
          <w:rFonts w:ascii="Verdana" w:hAnsi="Verdana" w:cs="DejaVu Sans"/>
        </w:rPr>
        <w:t>.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>Sa</w:t>
      </w:r>
      <w:r w:rsidR="009F4791">
        <w:rPr>
          <w:rFonts w:ascii="Verdana" w:hAnsi="Verdana" w:cs="DejaVu Sans"/>
        </w:rPr>
        <w:t>la das Reuniões, 19 de março de 2015</w:t>
      </w:r>
      <w:r>
        <w:rPr>
          <w:rFonts w:ascii="Verdana" w:hAnsi="Verdana" w:cs="DejaVu Sans"/>
        </w:rPr>
        <w:t>.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</w:p>
    <w:p w:rsidR="003B4864" w:rsidRDefault="009F4791" w:rsidP="003B4864">
      <w:pPr>
        <w:ind w:firstLine="2295"/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>Euro de Andrade Lanza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>Relator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</w:p>
    <w:p w:rsidR="003B4864" w:rsidRDefault="003B4864" w:rsidP="003B4864">
      <w:pPr>
        <w:ind w:firstLine="2295"/>
        <w:jc w:val="both"/>
        <w:rPr>
          <w:rFonts w:ascii="Verdana" w:hAnsi="Verdana" w:cs="DejaVu Sans"/>
          <w:u w:val="single"/>
        </w:rPr>
      </w:pPr>
      <w:r>
        <w:rPr>
          <w:rFonts w:ascii="Verdana" w:hAnsi="Verdana" w:cs="DejaVu Sans"/>
          <w:u w:val="single"/>
        </w:rPr>
        <w:t>V O T O S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>De acordo com o relator.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>Marcelo Pires Rodrigues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>Presidente</w:t>
      </w:r>
    </w:p>
    <w:p w:rsidR="003B4864" w:rsidRDefault="003B4864" w:rsidP="003B4864">
      <w:pPr>
        <w:ind w:firstLine="2295"/>
        <w:jc w:val="both"/>
        <w:rPr>
          <w:rFonts w:ascii="Verdana" w:hAnsi="Verdana" w:cs="DejaVu Sans"/>
        </w:rPr>
      </w:pPr>
    </w:p>
    <w:p w:rsidR="00781479" w:rsidRDefault="00781479"/>
    <w:sectPr w:rsidR="00781479" w:rsidSect="00781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4864"/>
    <w:rsid w:val="003B4864"/>
    <w:rsid w:val="0065402C"/>
    <w:rsid w:val="00781479"/>
    <w:rsid w:val="009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64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2015-03-26T20:56:00Z</cp:lastPrinted>
  <dcterms:created xsi:type="dcterms:W3CDTF">2015-03-26T20:45:00Z</dcterms:created>
  <dcterms:modified xsi:type="dcterms:W3CDTF">2015-03-26T20:57:00Z</dcterms:modified>
</cp:coreProperties>
</file>