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5600700" cy="96202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070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  <w:sz w:val="24"/>
        </w:rPr>
        <w:t xml:space="preserve">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Cs/>
          <w:sz w:val="24"/>
          <w:szCs w:val="24"/>
        </w:rPr>
        <w:t>COMISSÃO DE LEGISLAÇÃO E JUSTIÇA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style0"/>
        <w:jc w:val="center"/>
      </w:pPr>
      <w:r>
        <w:rPr>
          <w:rFonts w:ascii="Verdana" w:hAnsi="Verdana"/>
          <w:b/>
          <w:sz w:val="24"/>
          <w:szCs w:val="24"/>
        </w:rPr>
      </w:r>
    </w:p>
    <w:p>
      <w:pPr>
        <w:pStyle w:val="style0"/>
        <w:jc w:val="both"/>
      </w:pPr>
      <w:r>
        <w:rPr>
          <w:rFonts w:ascii="Verdana" w:hAnsi="Verdana"/>
          <w:b/>
          <w:sz w:val="24"/>
          <w:szCs w:val="24"/>
        </w:rPr>
        <w:t xml:space="preserve">MATÉRIA: </w:t>
      </w:r>
      <w:r>
        <w:rPr>
          <w:rFonts w:ascii="Verdana" w:hAnsi="Verdana"/>
          <w:sz w:val="24"/>
          <w:szCs w:val="24"/>
        </w:rPr>
        <w:t xml:space="preserve">Emenda Aditiva nº 02 ao </w:t>
      </w:r>
      <w:r>
        <w:rPr>
          <w:rFonts w:ascii="Verdana" w:cs="DejaVu Sans" w:hAnsi="Verdana"/>
          <w:bCs/>
          <w:sz w:val="24"/>
          <w:szCs w:val="24"/>
        </w:rPr>
        <w:t>Substitutivo nº 01 ao P</w:t>
      </w:r>
      <w:r>
        <w:rPr>
          <w:rFonts w:ascii="Verdana" w:cs="DejaVu Sans" w:hAnsi="Verdana"/>
          <w:sz w:val="24"/>
          <w:szCs w:val="24"/>
        </w:rPr>
        <w:t>rojeto de Lei nº 131/2014 - “Dispõe sobre o Programa Municipal de Incentivo à Recuperação de Créditos Tributários Decorrentes do ISSQN – Imposto sobre Serviços de Qualquer Natureza, Multas Fiscais, IPTU – Imposto Predial Territorial Urbano, e TCR – Taxa de Coleta de Resíduos Sólidos Urbanos inscritos ou não em dívida ativa e em fase de execução fiscal e dá outras providências.”</w:t>
      </w: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jc w:val="both"/>
      </w:pPr>
      <w:r>
        <w:rPr>
          <w:rFonts w:ascii="Verdana" w:hAnsi="Verdana"/>
          <w:b/>
          <w:sz w:val="24"/>
          <w:szCs w:val="24"/>
        </w:rPr>
        <w:t>AUTORIA:</w:t>
      </w:r>
      <w:r>
        <w:rPr>
          <w:rFonts w:ascii="Verdana" w:hAnsi="Verdana"/>
          <w:sz w:val="24"/>
          <w:szCs w:val="24"/>
        </w:rPr>
        <w:t xml:space="preserve"> Vereador Marcelo Pires Rodrigues.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sz w:val="24"/>
          <w:szCs w:val="24"/>
          <w:u w:val="single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sz w:val="24"/>
          <w:szCs w:val="24"/>
        </w:rPr>
        <w:t>A proposição ora apreciada, subscrita por membro desta Edilidade, visa a acrescentar dispositivo à proposição supramencionada, dispondo que o Comitê Gestor nomeado para gerir o processo de concessão da anistia deverá ser composto por pessoas com capacidade profissional técnica na área fiscal, tendo dentre seus membros um representante dos contribuintes.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cs="DejaVu Sans" w:hAnsi="Verdana"/>
          <w:sz w:val="24"/>
          <w:szCs w:val="24"/>
        </w:rPr>
        <w:t xml:space="preserve">                 </w:t>
      </w:r>
      <w:r>
        <w:rPr>
          <w:rFonts w:ascii="Verdana" w:cs="DejaVu Sans" w:hAnsi="Verdana"/>
          <w:sz w:val="24"/>
          <w:szCs w:val="24"/>
        </w:rPr>
        <w:t>A Emenda  foi distribuída nesta data a esta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cs="DejaVu Sans" w:hAnsi="Verdana"/>
          <w:sz w:val="24"/>
          <w:szCs w:val="24"/>
        </w:rPr>
        <w:t xml:space="preserve">                 </w:t>
      </w:r>
      <w:r>
        <w:rPr>
          <w:rFonts w:ascii="Verdana" w:cs="DejaVu Sans" w:hAnsi="Verdana"/>
          <w:sz w:val="24"/>
          <w:szCs w:val="24"/>
        </w:rPr>
        <w:t>Presentes à reunião extraordinária o Vereador Euro de Andrade Lanza (presidente), o Vereador Dalton Antônio de Avelar Andrade (relator) e a Vereadora Marli Aparecida Barbosa suplente do Vereador Marcelo Pires Rodrigues impedido de votar a proposição por ser o autor da mesma. Presentes também o Procurador Geral do Legislativo, o Consultor Jurídico e assessores de Gabinetes.</w:t>
      </w:r>
      <w:r>
        <w:rPr>
          <w:rFonts w:ascii="Verdana" w:hAnsi="Verdana"/>
          <w:sz w:val="24"/>
          <w:szCs w:val="24"/>
        </w:rPr>
        <w:t xml:space="preserve">           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 </w:t>
      </w:r>
      <w:r>
        <w:rPr>
          <w:rFonts w:ascii="Verdana" w:hAnsi="Verdana"/>
          <w:sz w:val="24"/>
          <w:szCs w:val="24"/>
        </w:rPr>
        <w:t>Após análise realizada, constato que a proposição foi apresentada de forma adequada, guardando consonância com o Substitutivo nº 01 ao Projeto de Lei nº 131/2014.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</w:t>
      </w:r>
      <w:r>
        <w:rPr>
          <w:rFonts w:ascii="Verdana" w:hAnsi="Verdana"/>
          <w:sz w:val="24"/>
          <w:szCs w:val="24"/>
          <w:drawing>
            <wp:inline distB="0" distL="0" distR="0" distT="0">
              <wp:extent cx="5600700" cy="962025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070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  <w:sz w:val="24"/>
          <w:szCs w:val="24"/>
        </w:rPr>
        <w:t xml:space="preserve">                  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 </w:t>
      </w:r>
      <w:r>
        <w:rPr>
          <w:rFonts w:ascii="Verdana" w:hAnsi="Verdana"/>
          <w:sz w:val="24"/>
          <w:szCs w:val="24"/>
        </w:rPr>
        <w:t>A emenda sob análise acrescenta dispositivo à mencionada proposição, garantindo que o Comitê Gestor da anistia, órgão encarregado de implementar os procedimentos necessários ao controle e administração das regularizações de crédito, tenha na sua composição membros que sejam aptos e com capacidade técnica comprovada para o exercício de suas atribuições.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 </w:t>
      </w:r>
      <w:r>
        <w:rPr>
          <w:rFonts w:ascii="Verdana" w:hAnsi="Verdana"/>
          <w:sz w:val="24"/>
          <w:szCs w:val="24"/>
        </w:rPr>
        <w:t>Tal Comitê, que é composto por três membros, nos termos da emenda em comento, passaria a ter, obrigatoriamente, um membro representante dos contribuintes.</w:t>
      </w: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 </w:t>
      </w:r>
      <w:r>
        <w:rPr>
          <w:rFonts w:ascii="Verdana" w:hAnsi="Verdana"/>
          <w:sz w:val="24"/>
          <w:szCs w:val="24"/>
        </w:rPr>
        <w:t xml:space="preserve">A matéria está consoante a legislação, razão pela qual não vejo óbice a que a mesma seja levada à apreciação do Plenário.          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 </w:t>
      </w:r>
      <w:r>
        <w:rPr>
          <w:rFonts w:ascii="Verdana" w:hAnsi="Verdana"/>
          <w:sz w:val="24"/>
          <w:szCs w:val="24"/>
        </w:rPr>
        <w:t xml:space="preserve">Isso posto, concluo pela constitucionalidade, legalidade e juridicidade da Emenda Aditiva nº 02 ao </w:t>
      </w:r>
      <w:r>
        <w:rPr>
          <w:rFonts w:ascii="Verdana" w:cs="DejaVu Sans" w:hAnsi="Verdana"/>
          <w:bCs/>
          <w:sz w:val="24"/>
          <w:szCs w:val="24"/>
        </w:rPr>
        <w:t>Substitutivo nº 01 ao P</w:t>
      </w:r>
      <w:r>
        <w:rPr>
          <w:rFonts w:ascii="Verdana" w:cs="DejaVu Sans" w:hAnsi="Verdana"/>
          <w:sz w:val="24"/>
          <w:szCs w:val="24"/>
        </w:rPr>
        <w:t xml:space="preserve">rojeto de Lei nº 131/2014. </w:t>
      </w:r>
    </w:p>
    <w:p>
      <w:pPr>
        <w:pStyle w:val="style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Sala das Reuniões, 07 de novembro de 2014.</w:t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  <w:sz w:val="24"/>
          <w:szCs w:val="24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  <w:t xml:space="preserve">     </w:t>
      </w:r>
      <w:r>
        <w:rPr>
          <w:rFonts w:ascii="Verdana" w:cs="DejaVu Sans" w:hAnsi="Verdana"/>
          <w:sz w:val="24"/>
          <w:szCs w:val="24"/>
        </w:rPr>
        <w:t>Dalton Antônio de Avelar Andrade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  <w:t xml:space="preserve">     </w:t>
      </w:r>
      <w:r>
        <w:rPr>
          <w:rFonts w:ascii="Verdana" w:cs="DejaVu Sans" w:hAnsi="Verdana"/>
          <w:sz w:val="24"/>
          <w:szCs w:val="24"/>
        </w:rPr>
        <w:t>Relator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  <w:t xml:space="preserve">     </w:t>
      </w:r>
      <w:r>
        <w:rPr>
          <w:rFonts w:ascii="Verdana" w:cs="DejaVu Sans" w:hAnsi="Verdana"/>
          <w:sz w:val="24"/>
          <w:szCs w:val="24"/>
          <w:u w:val="single"/>
        </w:rPr>
        <w:t>V 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De acordo com o relator.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Euro de Andrade Lanza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Marli Aparecida Barbosa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Vereadora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0"/>
      <w:szCs w:val="20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2014-11-10T12:01:00.00Z</dcterms:created>
  <dc:creator>Usuario</dc:creator>
  <cp:lastModifiedBy>Usuario</cp:lastModifiedBy>
  <dcterms:modified xsi:type="dcterms:W3CDTF">2014-11-10T12:38:00.00Z</dcterms:modified>
  <cp:revision>2</cp:revision>
</cp:coreProperties>
</file>