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5.emf" ContentType="image/x-emf"/>
  <Override PartName="/word/media/image6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20" w:left="0" w:right="0"/>
        <w:jc w:val="center"/>
      </w:pPr>
      <w:r>
        <w:rPr>
          <w:drawing>
            <wp:inline distB="0" distL="0" distR="0" distT="0">
              <wp:extent cx="4629150" cy="771525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2915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</w:rPr>
        <w:t xml:space="preserve">                              </w:t>
      </w:r>
      <w:r>
        <w:rPr>
          <w:rFonts w:ascii="Verdana" w:hAnsi="Verdana"/>
          <w:sz w:val="32"/>
          <w:szCs w:val="32"/>
        </w:rPr>
        <w:t xml:space="preserve">                           </w:t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  <w:t>PARECER REGIMENTAL</w:t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  <w:t>COMISSÃO DE LEGISLAÇÃO E JUSTIÇA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Verdana" w:cs="DejaVu Sans" w:hAnsi="Verdana"/>
          <w:b/>
          <w:bCs/>
          <w:sz w:val="28"/>
          <w:szCs w:val="28"/>
        </w:rPr>
        <w:t>MATÉRIA:</w:t>
      </w:r>
      <w:r>
        <w:rPr>
          <w:rFonts w:ascii="Verdana" w:cs="DejaVu Sans" w:hAnsi="Verdana"/>
          <w:sz w:val="28"/>
          <w:szCs w:val="28"/>
        </w:rPr>
        <w:t xml:space="preserve"> Substitutivo nº 001 ao Anteprojeto de Lei nº 108/2014 - “Dispõe sobre incentivos fiscais a entidades que prestem serviços benéficos à comunidade setelagoana, mediante contrapartidas”.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Verdana" w:cs="DejaVu Sans" w:hAnsi="Verdana"/>
          <w:b/>
          <w:bCs/>
          <w:sz w:val="28"/>
          <w:szCs w:val="28"/>
        </w:rPr>
        <w:t>AUTOR:</w:t>
      </w:r>
      <w:r>
        <w:rPr>
          <w:rFonts w:ascii="Verdana" w:cs="DejaVu Sans" w:hAnsi="Verdana"/>
          <w:sz w:val="28"/>
          <w:szCs w:val="28"/>
        </w:rPr>
        <w:t xml:space="preserve"> Vereadores Cláudio Henrique Nacif Gonçalves e Marli Aparecida Barbosa.</w:t>
      </w:r>
    </w:p>
    <w:p>
      <w:pPr>
        <w:pStyle w:val="style0"/>
        <w:jc w:val="both"/>
      </w:pPr>
      <w:r>
        <w:rPr>
          <w:rFonts w:ascii="Verdana" w:cs="DejaVu Sans" w:hAnsi="Verdana"/>
          <w:sz w:val="26"/>
          <w:szCs w:val="26"/>
        </w:rPr>
        <w:t>___________________________________________________</w:t>
      </w:r>
    </w:p>
    <w:p>
      <w:pPr>
        <w:pStyle w:val="style0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Relatório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A proposição em epígrafe, cuja autoria pertence a membros desta edilidade, propõe a concessão de incentivos fiscais a entidades que prestem serviços à comunidade setelagoana, tais como centros comunitários, associações civis, fundações e ONGS.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O Substitutivo foi distribuído a esta Comissão de Legislação e Justiça para receber parecer quanto aos aspectos de sua juridicidade, constitucionalidade e legalidade, nos termos do disposto no art. 169 c/c art. 69 e § 1º do art. 83 do Regimento Interno.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Presentes à reunião o Vereador Milton Luiz Saraiva (Presidente) suplente do Vereador Euro de Andrade Lanza que não pôde comparecer à reunião, o Vereador Dalton Antônio de Avelar Andrade (Relator) e o Vereador Marcelo Pires Rodrigues, além do Procurador Geral do Legislativo, o Subprocurador, Assessores de Gabinetes e munícipes.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  <w:t>Fundamentação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 xml:space="preserve">Por versar sobre matéria cuja iniciativa de lei é reservada ao Chefe do Poder Executivo Municipal (art. 76, II da Lei Orgânica), a presente proposição tramita de forma adequada, constituindo-se numa sugestão que é dada ao sr.Prefeito que, uma 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</w:r>
    </w:p>
    <w:p>
      <w:pPr>
        <w:pStyle w:val="style0"/>
        <w:ind w:firstLine="645" w:left="0" w:right="0"/>
        <w:jc w:val="both"/>
      </w:pPr>
      <w:r>
        <w:rPr>
          <w:drawing>
            <wp:inline distB="0" distL="0" distR="0" distT="0">
              <wp:extent cx="4629150" cy="771525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2915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jc w:val="both"/>
      </w:pPr>
      <w:r>
        <w:rPr>
          <w:rFonts w:ascii="Verdana" w:cs="DejaVu Sans" w:hAnsi="Verdana"/>
        </w:rPr>
        <w:t>vez entendendo ser de interesse público, transformará o anteprojeto em projeto de lei, encaminhando-o oportunamente à apreciação desta Casa de Leis.</w:t>
      </w:r>
    </w:p>
    <w:p>
      <w:pPr>
        <w:pStyle w:val="style0"/>
        <w:jc w:val="both"/>
      </w:pPr>
      <w:r>
        <w:rPr>
          <w:rFonts w:ascii="Verdana" w:cs="DejaVu Sans" w:hAnsi="Verdana"/>
        </w:rPr>
        <w:t xml:space="preserve">                           </w:t>
      </w:r>
      <w:r>
        <w:rPr>
          <w:rFonts w:ascii="Verdana" w:cs="DejaVu Sans" w:hAnsi="Verdana"/>
        </w:rPr>
        <w:t>No que tange ao aspecto material nada vejo que impeça a sua regular tramitação.</w:t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jc w:val="both"/>
      </w:pPr>
      <w:r>
        <w:rPr>
          <w:rFonts w:ascii="Verdana" w:cs="DejaVu Sans" w:hAnsi="Verdana"/>
          <w:sz w:val="26"/>
          <w:szCs w:val="26"/>
        </w:rPr>
        <w:t xml:space="preserve">                            </w:t>
      </w:r>
      <w:r>
        <w:rPr>
          <w:rFonts w:ascii="Verdana" w:cs="DejaVu Sans" w:hAnsi="Verdana"/>
          <w:sz w:val="26"/>
          <w:szCs w:val="26"/>
          <w:u w:val="single"/>
        </w:rPr>
        <w:t>Conclusão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>Em face do exposto, este relator conclui pela juridicidade, constitucionalidade e legalidade do Substitutivo nº 01 ao Anteprojeto de Lei nº 108/2014.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>Sala das Reuniões, 09 de outubro de 2014.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>Dalton Antônio de Avelar Andrade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>Relator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  <w:t>V O T O S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>De acordo com o relator.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>Milton Luiz Saraiva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>Presidente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>Marcelo Pires Rodrigues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ar-SA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5.emf"/><Relationship Id="rId3" Type="http://schemas.openxmlformats.org/officeDocument/2006/relationships/image" Target="media/image6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2014-10-13T14:26:00.00Z</dcterms:created>
  <dc:creator>Usuario</dc:creator>
  <cp:lastModifiedBy>Usuario</cp:lastModifiedBy>
  <cp:lastPrinted>2014-10-13T14:34:00.00Z</cp:lastPrinted>
  <dcterms:modified xsi:type="dcterms:W3CDTF">2014-10-13T14:34:00.00Z</dcterms:modified>
  <cp:revision>2</cp:revision>
</cp:coreProperties>
</file>