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5410200" cy="87630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  <w:bCs/>
        </w:rPr>
        <w:t>Projeto</w:t>
      </w:r>
      <w:r>
        <w:rPr>
          <w:rFonts w:ascii="Verdana" w:cs="DejaVu Sans" w:hAnsi="Verdana"/>
        </w:rPr>
        <w:t xml:space="preserve"> de Lei nº 101/2014 – “Inclui o Dia da Caminhada pela Paz no calendário oficial do Município de Sete Lagoas e dá outras providências”.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Vereador Milton Martins.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A proposição acima referenciada, cuja autoria pertence a membro desta Edilidade, objetiva inserir no Calendário Oficial do Município de Sete Lagoas, o “Dia da Caminhada pela Paz”, realizada no 2º domingo do mês de janeiro de cada ano.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projeto foi distribuído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 Vereador Milton Luiz Saraiva (presidente), o Vereador Dalton Antônio de Avelar Andrade (relator) e o Vereador Marcelo Pires Rodrigues, além do Procurador Geral do Legislativo, o Subprocurador, 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Os Municípios brasileiros, entes federados autônomos nos termos dos arts. 1º e 18 da Constituição Federal, são dotados de capacidade legislativa para disciplinar os assuntos de interesse local de forma privativa ou suplementar, conforme ditam os incisos I e II do art. 30 da Carta Federal.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/>
      </w:r>
    </w:p>
    <w:p>
      <w:pPr>
        <w:pStyle w:val="style0"/>
        <w:tabs>
          <w:tab w:leader="none" w:pos="5580" w:val="left"/>
        </w:tabs>
        <w:jc w:val="both"/>
      </w:pPr>
      <w:r>
        <w:rPr>
          <w:drawing>
            <wp:inline distB="0" distL="0" distR="0" distT="0">
              <wp:extent cx="5410200" cy="87630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/>
        <w:t xml:space="preserve"> 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Portanto o Município pode, no exercício de sua competência legislativa própria, instituir dias e semanas dedicados a um seguimento da sociedade ou a eventos que são de interesse da população. Logo, é inegável que não há óbice a que a Caminhada pela Paz seja inserido no Calendário Oficial do Município, ainda mais  quando  não  constitua  feriado  municipal, hipótese  em que demandaria a observância a outros requisitos legais.</w:t>
      </w:r>
      <w:r>
        <w:rPr/>
        <w:t xml:space="preserve">                     </w:t>
      </w:r>
    </w:p>
    <w:p>
      <w:pPr>
        <w:pStyle w:val="style0"/>
        <w:tabs>
          <w:tab w:leader="none" w:pos="2355" w:val="left"/>
        </w:tabs>
        <w:jc w:val="both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É importante frizar que a matéria em questão não se encontra no rol daquelas cuja iniciativa de lei são reservadas ao Poder Executivo.</w:t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 xml:space="preserve">Em face do exposto, este relator conclui pela </w:t>
      </w:r>
      <w:r>
        <w:rPr>
          <w:rFonts w:ascii="Verdana" w:hAnsi="Verdana"/>
        </w:rPr>
        <w:t>legalidade, constitucionalidade e juridicidade do Projeto de Lei nº 101/2014.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15" w:left="0" w:right="0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Sala das Reuniões, 09 de outubro de 2014.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 xml:space="preserve">   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Milton Luiz Saraiva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2014-10-13T14:08:00.00Z</dcterms:created>
  <dc:creator>Usuario</dc:creator>
  <cp:lastModifiedBy>Usuario</cp:lastModifiedBy>
  <cp:lastPrinted>2014-10-13T14:16:00.00Z</cp:lastPrinted>
  <dcterms:modified xsi:type="dcterms:W3CDTF">2014-10-13T14:17:00.00Z</dcterms:modified>
  <cp:revision>2</cp:revision>
</cp:coreProperties>
</file>