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wmf" ContentType="image/x-wmf"/>
  <Override PartName="/word/media/image2.wmf" ContentType="image/x-wmf"/>
  <Override PartName="/word/media/image3.wmf" ContentType="image/x-w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20" w:left="0" w:right="0"/>
        <w:jc w:val="center"/>
      </w:pPr>
      <w:r>
        <w:rPr/>
        <w:drawing>
          <wp:inline distB="0" distL="0" distR="0" distT="0">
            <wp:extent cx="5581650" cy="120967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581650" cy="120967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pPr>
        <w:pStyle w:val="style0"/>
        <w:jc w:val="center"/>
      </w:pPr>
      <w:r>
        <w:rPr>
          <w:rFonts w:ascii="Times New Roman" w:hAnsi="Times New Roman"/>
          <w:b/>
          <w:bCs/>
          <w:sz w:val="28"/>
          <w:szCs w:val="28"/>
        </w:rPr>
        <w:t xml:space="preserve">PARECER REGIMENTAL (Contrário) </w:t>
      </w:r>
    </w:p>
    <w:p>
      <w:pPr>
        <w:pStyle w:val="style0"/>
        <w:jc w:val="center"/>
      </w:pPr>
      <w:r>
        <w:rPr/>
      </w:r>
    </w:p>
    <w:p>
      <w:pPr>
        <w:pStyle w:val="style0"/>
        <w:jc w:val="center"/>
      </w:pPr>
      <w:r>
        <w:rPr>
          <w:rFonts w:ascii="Times New Roman" w:hAnsi="Times New Roman"/>
          <w:b/>
          <w:bCs/>
          <w:sz w:val="28"/>
          <w:szCs w:val="28"/>
        </w:rPr>
        <w:t>COMISSÃO DE FISCALIZAÇÃO FINANCEIRA ORÇAMENTÁRIA E DE TOMADA DE CONTAS- CFFOTC</w:t>
      </w:r>
    </w:p>
    <w:p>
      <w:pPr>
        <w:pStyle w:val="style0"/>
        <w:jc w:val="center"/>
      </w:pPr>
      <w:r>
        <w:rPr/>
      </w:r>
    </w:p>
    <w:p>
      <w:pPr>
        <w:pStyle w:val="style0"/>
      </w:pPr>
      <w:r>
        <w:rPr/>
      </w:r>
    </w:p>
    <w:p>
      <w:pPr>
        <w:pStyle w:val="style0"/>
        <w:jc w:val="both"/>
      </w:pPr>
      <w:r>
        <w:rPr>
          <w:rFonts w:ascii="Times New Roman" w:cs="DejaVu Sans" w:hAnsi="Times New Roman"/>
          <w:b/>
          <w:bCs/>
          <w:sz w:val="28"/>
          <w:szCs w:val="28"/>
        </w:rPr>
        <w:t xml:space="preserve">MATÉRIA: </w:t>
      </w:r>
      <w:r>
        <w:rPr>
          <w:rFonts w:ascii="Times New Roman" w:cs="DejaVu Sans" w:hAnsi="Times New Roman"/>
          <w:bCs/>
          <w:sz w:val="28"/>
          <w:szCs w:val="28"/>
        </w:rPr>
        <w:t>P</w:t>
      </w:r>
      <w:r>
        <w:rPr>
          <w:rFonts w:ascii="Times New Roman" w:cs="DejaVu Sans" w:hAnsi="Times New Roman"/>
          <w:sz w:val="28"/>
          <w:szCs w:val="28"/>
        </w:rPr>
        <w:t>rojeto de Lei nº 098/2014 - “Autoriza o Poder Executivo a contratar operação de crédito junto ao Banco do Brasil S/A e dá outras providências correlatas”</w:t>
      </w:r>
    </w:p>
    <w:p>
      <w:pPr>
        <w:pStyle w:val="style0"/>
        <w:jc w:val="both"/>
      </w:pPr>
      <w:r>
        <w:rPr/>
      </w:r>
    </w:p>
    <w:p>
      <w:pPr>
        <w:pStyle w:val="style0"/>
        <w:pBdr>
          <w:top w:val="none"/>
          <w:left w:val="none"/>
          <w:bottom w:color="000001" w:space="0" w:sz="8" w:val="single"/>
          <w:insideH w:color="000001" w:space="0" w:sz="8" w:val="single"/>
          <w:right w:val="none"/>
          <w:insideV w:val="none"/>
        </w:pBdr>
      </w:pPr>
      <w:r>
        <w:rPr>
          <w:rFonts w:ascii="Times New Roman" w:cs="DejaVu Sans" w:hAnsi="Times New Roman"/>
          <w:b/>
          <w:bCs/>
          <w:sz w:val="28"/>
          <w:szCs w:val="28"/>
        </w:rPr>
        <w:t xml:space="preserve">AUTOR: </w:t>
      </w:r>
      <w:r>
        <w:rPr>
          <w:rFonts w:ascii="Times New Roman" w:cs="DejaVu Sans" w:hAnsi="Times New Roman"/>
          <w:bCs/>
          <w:sz w:val="28"/>
          <w:szCs w:val="28"/>
        </w:rPr>
        <w:t>Poder Executivo Municipal.</w:t>
      </w:r>
    </w:p>
    <w:p>
      <w:pPr>
        <w:pStyle w:val="style0"/>
        <w:pBdr>
          <w:top w:val="none"/>
          <w:left w:val="none"/>
          <w:bottom w:color="000001" w:space="0" w:sz="8" w:val="single"/>
          <w:insideH w:color="000001" w:space="0" w:sz="8" w:val="single"/>
          <w:right w:val="none"/>
          <w:insideV w:val="none"/>
        </w:pBdr>
      </w:pPr>
      <w:r>
        <w:rPr/>
      </w:r>
    </w:p>
    <w:p>
      <w:pPr>
        <w:pStyle w:val="style0"/>
      </w:pPr>
      <w:r>
        <w:rPr/>
      </w:r>
    </w:p>
    <w:p>
      <w:pPr>
        <w:pStyle w:val="style0"/>
        <w:ind w:firstLine="2295" w:left="0" w:right="0"/>
        <w:jc w:val="both"/>
      </w:pPr>
      <w:r>
        <w:rPr>
          <w:rFonts w:ascii="Times New Roman" w:cs="DejaVu Sans" w:hAnsi="Times New Roman"/>
          <w:sz w:val="28"/>
          <w:szCs w:val="28"/>
          <w:u w:val="single"/>
        </w:rPr>
        <w:t>Relatório</w:t>
      </w:r>
    </w:p>
    <w:p>
      <w:pPr>
        <w:pStyle w:val="style0"/>
        <w:ind w:firstLine="2295" w:left="0" w:right="0"/>
        <w:jc w:val="both"/>
      </w:pPr>
      <w:r>
        <w:rPr/>
      </w:r>
    </w:p>
    <w:p>
      <w:pPr>
        <w:pStyle w:val="style0"/>
        <w:ind w:firstLine="2295" w:left="0" w:right="0"/>
        <w:jc w:val="both"/>
      </w:pPr>
      <w:r>
        <w:rPr>
          <w:rFonts w:ascii="Times New Roman" w:cs="DejaVu Sans" w:hAnsi="Times New Roman"/>
          <w:sz w:val="28"/>
          <w:szCs w:val="28"/>
        </w:rPr>
        <w:t>A proposição acima referenciada, cuja autoria pertence ao Chefe do Poder Executivo Municipal, visa a solicitar desta Casa Legislativa autorização para proceder a uma operação de crédito no valor de R$13.940.203,00, junto ao Banco do Brasil S/A, a fim de garantir contrapartida do Município nos contratos de financiamento de obras do PAC-ÁGUA, Contrato CEF nº 0223.389-95/2007 e Contrato BNDES nº 08.204.48/2008.</w:t>
      </w:r>
    </w:p>
    <w:p>
      <w:pPr>
        <w:pStyle w:val="style0"/>
        <w:ind w:firstLine="2295" w:left="0" w:right="0"/>
        <w:jc w:val="both"/>
      </w:pPr>
      <w:r>
        <w:rPr>
          <w:rFonts w:ascii="Times New Roman" w:cs="DejaVu Sans" w:hAnsi="Times New Roman"/>
          <w:sz w:val="28"/>
          <w:szCs w:val="28"/>
        </w:rPr>
        <w:t>A matéria tramita em regime de urgência, tendo sido distribuída a esta Comissão de Fiscalização Financeira, Orçamentária e de Tomada de Contas em data de 08 de agosto de 2014 para receber parecer quanto aos aspectos de sua adequação ao Sistema Orçamentário Municipal, nos termos do disposto no art. 69 e § 2º do art. 83 do Regimento Interno.</w:t>
      </w:r>
    </w:p>
    <w:p>
      <w:pPr>
        <w:pStyle w:val="style0"/>
        <w:ind w:firstLine="2295" w:left="0" w:right="0"/>
        <w:jc w:val="both"/>
      </w:pPr>
      <w:r>
        <w:rPr>
          <w:rFonts w:ascii="Times New Roman" w:cs="DejaVu Sans" w:hAnsi="Times New Roman"/>
          <w:sz w:val="28"/>
          <w:szCs w:val="28"/>
        </w:rPr>
        <w:t>Presentes à reunião o Vereador Renato Gomes (presidente), o Vereador Joaquim Gonzaga Barbosa (relator) e o Vereador Fabrício Augusto Carvalho do Nascimento, além do Procurador Geral do Legislativo e Assessores de Gabinetes.</w:t>
      </w:r>
    </w:p>
    <w:p>
      <w:pPr>
        <w:pStyle w:val="style0"/>
        <w:ind w:firstLine="2295" w:left="0" w:right="0"/>
        <w:jc w:val="both"/>
      </w:pPr>
      <w:r>
        <w:rPr/>
      </w:r>
    </w:p>
    <w:p>
      <w:pPr>
        <w:pStyle w:val="style0"/>
        <w:ind w:firstLine="2295" w:left="0" w:right="0"/>
        <w:jc w:val="both"/>
      </w:pPr>
      <w:r>
        <w:rPr/>
      </w:r>
    </w:p>
    <w:p>
      <w:pPr>
        <w:pStyle w:val="style0"/>
        <w:ind w:firstLine="2295" w:left="0" w:right="0"/>
        <w:jc w:val="both"/>
      </w:pPr>
      <w:r>
        <w:rPr>
          <w:rFonts w:ascii="Times New Roman" w:cs="DejaVu Sans" w:hAnsi="Times New Roman"/>
          <w:sz w:val="28"/>
          <w:szCs w:val="28"/>
          <w:u w:val="single"/>
        </w:rPr>
        <w:t>Fundamentação</w:t>
      </w:r>
    </w:p>
    <w:p>
      <w:pPr>
        <w:pStyle w:val="style0"/>
      </w:pPr>
      <w:r>
        <w:rPr>
          <w:rFonts w:ascii="Verdana" w:hAnsi="Verdana"/>
        </w:rPr>
      </w:r>
    </w:p>
    <w:p>
      <w:pPr>
        <w:pStyle w:val="style0"/>
        <w:jc w:val="both"/>
      </w:pPr>
      <w:r>
        <w:rPr>
          <w:rFonts w:ascii="Verdana" w:hAnsi="Verdana"/>
        </w:rPr>
      </w:r>
    </w:p>
    <w:p>
      <w:pPr>
        <w:pStyle w:val="style0"/>
        <w:ind w:firstLine="1800" w:left="0" w:right="0"/>
        <w:jc w:val="both"/>
      </w:pPr>
      <w:r>
        <w:rPr>
          <w:rFonts w:ascii="Verdana" w:hAnsi="Verdana"/>
        </w:rPr>
        <w:t xml:space="preserve">     </w:t>
      </w:r>
      <w:r>
        <w:rPr>
          <w:rFonts w:ascii="Verdana" w:hAnsi="Verdana"/>
        </w:rPr>
        <w:t xml:space="preserve">O Projeto de Lei nº 098/2014 pretende obter a autorização deste Poder Legislativo para   que   o   Município   possa </w:t>
      </w:r>
    </w:p>
    <w:p>
      <w:pPr>
        <w:pStyle w:val="style0"/>
        <w:jc w:val="both"/>
      </w:pPr>
      <w:r>
        <w:rPr/>
        <w:drawing>
          <wp:inline distB="0" distL="0" distR="0" distT="0">
            <wp:extent cx="5400040" cy="1170305"/>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400040" cy="1170305"/>
                    </a:xfrm>
                    <a:prstGeom prst="rect">
                      <a:avLst/>
                    </a:prstGeom>
                    <a:noFill/>
                    <a:ln w="9525">
                      <a:noFill/>
                      <a:miter lim="800000"/>
                      <a:headEnd/>
                      <a:tailEnd/>
                    </a:ln>
                  </pic:spPr>
                </pic:pic>
              </a:graphicData>
            </a:graphic>
          </wp:inline>
        </w:drawing>
      </w:r>
    </w:p>
    <w:p>
      <w:pPr>
        <w:pStyle w:val="style0"/>
        <w:ind w:firstLine="1800" w:left="0" w:right="0"/>
        <w:jc w:val="both"/>
      </w:pPr>
      <w:r>
        <w:rPr>
          <w:rFonts w:ascii="Verdana" w:hAnsi="Verdana"/>
        </w:rPr>
      </w:r>
    </w:p>
    <w:p>
      <w:pPr>
        <w:pStyle w:val="style0"/>
        <w:jc w:val="both"/>
      </w:pPr>
      <w:r>
        <w:rPr>
          <w:rFonts w:ascii="Verdana" w:hAnsi="Verdana"/>
        </w:rPr>
        <w:t>contratar uma operação de crédito no valor de R$13.940.203,00 destinada ao financiamento de contrapartida relativa a obras de ampliação de Serviços de Abastecimento de Água constantes na Matriz de Responsabilidade celebrada entre a União, os Estados e os Municípios do Programa de Aceleração do Crescimento – PAC. Trata-se de uma iniciativa oriunda do Governo Federal, tendo como beneficiárias as pessoas jurídicas de Direito Público municipal inadimplentes no que tange a contrapartidas financeiras nas obras do PAC-Água, como no caso do Município de Sete Lagoas.</w:t>
      </w:r>
    </w:p>
    <w:p>
      <w:pPr>
        <w:pStyle w:val="style0"/>
        <w:ind w:firstLine="1800" w:left="0" w:right="0"/>
        <w:jc w:val="both"/>
      </w:pPr>
      <w:r>
        <w:rPr>
          <w:rFonts w:ascii="Verdana" w:hAnsi="Verdana"/>
        </w:rPr>
        <w:t xml:space="preserve"> </w:t>
      </w:r>
      <w:r>
        <w:rPr>
          <w:rFonts w:ascii="Verdana" w:hAnsi="Verdana"/>
        </w:rPr>
        <w:t>No dia 15 de agosto do ano em curso, atendendo convite desta Comissão, a equipe técnica do SAAE que é a entidade executora dos projetos compareceu na Sala de Reuniões deste Poder Legislativo, a fim de prestar esclarecimentos acerca da pretendida operação de crédito e do andamento das obras do PAC-Água, bem como das ações e metas a serem atingidas com o crédito então pleiteado. Na ocasião esta Comissão solicitou o relatório analítico de Gestão Fiscal do SAAE referente ao 1º quadrimestre de 2014, a fim de analisar a situação financeira da entidade, o que foi atendido, fazendo tal relatório parte integrante deste parecer.</w:t>
      </w:r>
    </w:p>
    <w:p>
      <w:pPr>
        <w:pStyle w:val="style0"/>
        <w:tabs>
          <w:tab w:leader="none" w:pos="2805" w:val="left"/>
        </w:tabs>
        <w:jc w:val="both"/>
      </w:pPr>
      <w:r>
        <w:rPr>
          <w:rFonts w:ascii="Verdana" w:hAnsi="Verdana"/>
        </w:rPr>
        <w:t xml:space="preserve">                      </w:t>
      </w:r>
      <w:r>
        <w:rPr>
          <w:rFonts w:ascii="Verdana" w:hAnsi="Verdana"/>
        </w:rPr>
        <w:t xml:space="preserve">Analisadas as informações prestadas verbalmente pela equipe técnica do SAAE, bem como o relatório de Gestão Fiscal apresentado pela autarquia e os documentos acostados à proposição pela Procuradoria Geral do Legislativo, tenho a considerar o seguinte. Muito embora se reconheça a importância das obras do PAC-Água para o atendimento das ações municipais relativas à demanda de água do Município, é necessário também ponderar a respeito do endividamento do Município que, segundo declaração do Secretário Municipal da Fazenda, está na ordem de 64,78% da receita corrente líquida, sem contar o endividamento relativo ao parcelamento de débitos para com a Previdência Social, cujo montante com juros e outros encargos ainda não foi informado pela Receita Federal. Portanto, na realidade, ainda não temos os dados oficiais relativos ao montante total de endividamento do Município, urgindo que se tenha muita cautela quanto às operações de crédito pleiteadas pelo Poder Executivo. É necessário lembrar que no ano de 2013 e no primeiro semestre de 2014, esta Casa Legislativa autorizou o Município de Sete Lagoas a contrair operações de crédito num total de mais de R$115.000.000,00. Entendo que é necessário parar um pouco e dimensionar o montante dessa dívida que, aliada à dívida municipal já consolidada, poderá trazer consequências graves para o Município </w:t>
      </w:r>
    </w:p>
    <w:p>
      <w:pPr>
        <w:pStyle w:val="style0"/>
        <w:tabs>
          <w:tab w:leader="none" w:pos="2805" w:val="left"/>
        </w:tabs>
        <w:jc w:val="both"/>
      </w:pPr>
      <w:r>
        <w:rPr/>
        <w:drawing>
          <wp:inline distB="0" distL="0" distR="0" distT="0">
            <wp:extent cx="5400040" cy="1170305"/>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5400040" cy="1170305"/>
                    </a:xfrm>
                    <a:prstGeom prst="rect">
                      <a:avLst/>
                    </a:prstGeom>
                    <a:noFill/>
                    <a:ln w="9525">
                      <a:noFill/>
                      <a:miter lim="800000"/>
                      <a:headEnd/>
                      <a:tailEnd/>
                    </a:ln>
                  </pic:spPr>
                </pic:pic>
              </a:graphicData>
            </a:graphic>
          </wp:inline>
        </w:drawing>
      </w:r>
    </w:p>
    <w:p>
      <w:pPr>
        <w:pStyle w:val="style0"/>
        <w:tabs>
          <w:tab w:leader="none" w:pos="2805" w:val="left"/>
        </w:tabs>
        <w:jc w:val="both"/>
      </w:pPr>
      <w:r>
        <w:rPr>
          <w:rFonts w:ascii="Verdana" w:hAnsi="Verdana"/>
          <w:sz w:val="22"/>
          <w:szCs w:val="22"/>
        </w:rPr>
        <w:t>a médio e longo prazos, inviabilizando administrações futuras.</w:t>
      </w:r>
    </w:p>
    <w:p>
      <w:pPr>
        <w:pStyle w:val="style0"/>
        <w:tabs>
          <w:tab w:leader="none" w:pos="2805" w:val="left"/>
        </w:tabs>
        <w:jc w:val="both"/>
      </w:pPr>
      <w:r>
        <w:rPr>
          <w:rFonts w:ascii="Verdana" w:hAnsi="Verdana"/>
          <w:sz w:val="22"/>
          <w:szCs w:val="22"/>
        </w:rPr>
        <w:t xml:space="preserve">                          </w:t>
      </w:r>
      <w:r>
        <w:rPr>
          <w:rFonts w:ascii="Verdana" w:hAnsi="Verdana"/>
          <w:sz w:val="22"/>
          <w:szCs w:val="22"/>
        </w:rPr>
        <w:t>Ressalte-se, também, que o art. 7º da Resolução nº 43/2001 do Senado Federal fixa os seguintes limites a serem observados pelo Município em suas operações de crédito interno e externo:</w:t>
      </w:r>
    </w:p>
    <w:p>
      <w:pPr>
        <w:pStyle w:val="style0"/>
        <w:tabs>
          <w:tab w:leader="none" w:pos="2805" w:val="left"/>
        </w:tabs>
        <w:jc w:val="both"/>
      </w:pPr>
      <w:r>
        <w:rPr>
          <w:rFonts w:ascii="Verdana" w:hAnsi="Verdana"/>
          <w:sz w:val="22"/>
          <w:szCs w:val="22"/>
        </w:rPr>
        <w:t xml:space="preserve">                         </w:t>
      </w:r>
      <w:r>
        <w:rPr>
          <w:rFonts w:ascii="Verdana" w:hAnsi="Verdana"/>
          <w:sz w:val="22"/>
          <w:szCs w:val="22"/>
        </w:rPr>
        <w:t>I-o montante global das operações realizadas em um exercício financeiro não poderá ser superior a 16% da receita corrente líquida (R$71.487.945,33);</w:t>
      </w:r>
    </w:p>
    <w:p>
      <w:pPr>
        <w:pStyle w:val="style0"/>
        <w:tabs>
          <w:tab w:leader="none" w:pos="2805" w:val="left"/>
        </w:tabs>
        <w:jc w:val="both"/>
      </w:pPr>
      <w:r>
        <w:rPr>
          <w:rFonts w:ascii="Verdana" w:hAnsi="Verdana"/>
          <w:sz w:val="22"/>
          <w:szCs w:val="22"/>
        </w:rPr>
        <w:t xml:space="preserve">                        </w:t>
      </w:r>
      <w:r>
        <w:rPr>
          <w:rFonts w:ascii="Verdana" w:hAnsi="Verdana"/>
          <w:sz w:val="22"/>
          <w:szCs w:val="22"/>
        </w:rPr>
        <w:t>II-o comprometimento anual com amortizações, juros e demais encargos da dívida consolidada, inclusive relativos a valores a desembolsar de operações de crédito já contratadas e a contratar, não poderá exceder a 11,5% da receita corrente líquida (R$51.381.960,59).</w:t>
      </w:r>
    </w:p>
    <w:p>
      <w:pPr>
        <w:pStyle w:val="style0"/>
        <w:tabs>
          <w:tab w:leader="none" w:pos="2805" w:val="left"/>
        </w:tabs>
        <w:jc w:val="both"/>
      </w:pPr>
      <w:r>
        <w:rPr>
          <w:rFonts w:ascii="Verdana" w:hAnsi="Verdana"/>
          <w:sz w:val="22"/>
          <w:szCs w:val="22"/>
        </w:rPr>
        <w:t xml:space="preserve">                         </w:t>
      </w:r>
      <w:r>
        <w:rPr>
          <w:rFonts w:ascii="Verdana" w:hAnsi="Verdana"/>
          <w:sz w:val="22"/>
          <w:szCs w:val="22"/>
        </w:rPr>
        <w:t>No que se refere aos limites acima citados, o Município não apresentou declaração de cumprimento de tais limites estabelecidos pelo Senado Federal para fins de contrair o novo financiamento objeto da presente proposição.</w:t>
      </w:r>
    </w:p>
    <w:p>
      <w:pPr>
        <w:pStyle w:val="style0"/>
        <w:tabs>
          <w:tab w:leader="none" w:pos="2805" w:val="left"/>
        </w:tabs>
        <w:jc w:val="both"/>
      </w:pPr>
      <w:r>
        <w:rPr>
          <w:rFonts w:ascii="Verdana" w:hAnsi="Verdana"/>
          <w:sz w:val="22"/>
          <w:szCs w:val="22"/>
        </w:rPr>
        <w:t xml:space="preserve">                        </w:t>
      </w:r>
    </w:p>
    <w:p>
      <w:pPr>
        <w:pStyle w:val="style0"/>
        <w:tabs>
          <w:tab w:leader="none" w:pos="2250" w:val="left"/>
        </w:tabs>
        <w:jc w:val="both"/>
      </w:pPr>
      <w:r>
        <w:rPr>
          <w:rFonts w:ascii="Verdana" w:cs="DejaVu Sans" w:hAnsi="Verdana"/>
          <w:sz w:val="22"/>
          <w:szCs w:val="22"/>
          <w:u w:val="single"/>
        </w:rPr>
        <w:t>Conclusão</w:t>
      </w:r>
    </w:p>
    <w:p>
      <w:pPr>
        <w:pStyle w:val="style0"/>
        <w:ind w:firstLine="2295" w:left="0" w:right="0"/>
        <w:jc w:val="both"/>
      </w:pPr>
      <w:r>
        <w:rPr>
          <w:sz w:val="22"/>
          <w:szCs w:val="22"/>
        </w:rPr>
      </w:r>
    </w:p>
    <w:p>
      <w:pPr>
        <w:pStyle w:val="style0"/>
        <w:ind w:firstLine="2295" w:left="0" w:right="0"/>
        <w:jc w:val="both"/>
      </w:pPr>
      <w:r>
        <w:rPr>
          <w:rFonts w:ascii="Verdana" w:cs="DejaVu Sans" w:hAnsi="Verdana"/>
          <w:sz w:val="22"/>
          <w:szCs w:val="22"/>
        </w:rPr>
        <w:t>Em face do exposto, diante da insuficiência de dados aptos a nortearem a convicção deste relator, concluo pela</w:t>
      </w:r>
      <w:r>
        <w:rPr>
          <w:rFonts w:ascii="Verdana" w:hAnsi="Verdana"/>
          <w:sz w:val="22"/>
          <w:szCs w:val="22"/>
        </w:rPr>
        <w:t xml:space="preserve"> inadequação financeiro-orçamentária do Projeto de Lei nº 098/2014.</w:t>
      </w:r>
    </w:p>
    <w:p>
      <w:pPr>
        <w:pStyle w:val="style0"/>
        <w:jc w:val="both"/>
      </w:pPr>
      <w:r>
        <w:rPr>
          <w:rFonts w:ascii="Verdana" w:hAnsi="Verdana"/>
          <w:sz w:val="22"/>
          <w:szCs w:val="22"/>
        </w:rPr>
      </w:r>
    </w:p>
    <w:p>
      <w:pPr>
        <w:pStyle w:val="style0"/>
        <w:jc w:val="both"/>
      </w:pPr>
      <w:r>
        <w:rPr>
          <w:rFonts w:ascii="Verdana" w:hAnsi="Verdana"/>
          <w:sz w:val="22"/>
          <w:szCs w:val="22"/>
        </w:rPr>
        <w:t xml:space="preserve">                          </w:t>
      </w:r>
      <w:r>
        <w:rPr>
          <w:rFonts w:ascii="Verdana" w:hAnsi="Verdana"/>
          <w:sz w:val="22"/>
          <w:szCs w:val="22"/>
        </w:rPr>
        <w:t>Sala das Reuniões, 28 de agosto de 2014.</w:t>
      </w:r>
    </w:p>
    <w:p>
      <w:pPr>
        <w:pStyle w:val="style0"/>
      </w:pPr>
      <w:r>
        <w:rPr>
          <w:rFonts w:ascii="Verdana" w:hAnsi="Verdana"/>
          <w:sz w:val="22"/>
          <w:szCs w:val="22"/>
        </w:rPr>
      </w:r>
    </w:p>
    <w:p>
      <w:pPr>
        <w:pStyle w:val="style0"/>
        <w:ind w:firstLine="2268" w:left="0" w:right="0"/>
      </w:pPr>
      <w:r>
        <w:rPr>
          <w:rFonts w:ascii="Verdana" w:hAnsi="Verdana"/>
          <w:sz w:val="22"/>
          <w:szCs w:val="22"/>
        </w:rPr>
      </w:r>
    </w:p>
    <w:p>
      <w:pPr>
        <w:pStyle w:val="style0"/>
        <w:ind w:firstLine="2268" w:left="0" w:right="0"/>
      </w:pPr>
      <w:r>
        <w:rPr>
          <w:rFonts w:ascii="Verdana" w:hAnsi="Verdana"/>
          <w:sz w:val="22"/>
          <w:szCs w:val="22"/>
        </w:rPr>
        <w:t xml:space="preserve"> </w:t>
      </w:r>
      <w:r>
        <w:rPr>
          <w:rFonts w:ascii="Verdana" w:hAnsi="Verdana"/>
          <w:sz w:val="22"/>
          <w:szCs w:val="22"/>
        </w:rPr>
        <w:t>Joaquim Gonzaga Barbosa</w:t>
      </w:r>
    </w:p>
    <w:p>
      <w:pPr>
        <w:pStyle w:val="style0"/>
        <w:ind w:firstLine="2268" w:left="0" w:right="0"/>
      </w:pPr>
      <w:r>
        <w:rPr>
          <w:rFonts w:ascii="Verdana" w:hAnsi="Verdana"/>
          <w:sz w:val="22"/>
          <w:szCs w:val="22"/>
        </w:rPr>
        <w:t xml:space="preserve"> </w:t>
      </w:r>
      <w:r>
        <w:rPr>
          <w:rFonts w:ascii="Verdana" w:hAnsi="Verdana"/>
          <w:sz w:val="22"/>
          <w:szCs w:val="22"/>
        </w:rPr>
        <w:t>Relator-CFFOTC</w:t>
      </w:r>
    </w:p>
    <w:p>
      <w:pPr>
        <w:pStyle w:val="style0"/>
        <w:ind w:firstLine="2268" w:left="0" w:right="0"/>
      </w:pPr>
      <w:r>
        <w:rPr>
          <w:rFonts w:ascii="Verdana" w:hAnsi="Verdana"/>
          <w:sz w:val="22"/>
          <w:szCs w:val="22"/>
          <w:u w:val="single"/>
        </w:rPr>
      </w:r>
    </w:p>
    <w:p>
      <w:pPr>
        <w:pStyle w:val="style0"/>
        <w:ind w:firstLine="2268" w:left="0" w:right="0"/>
      </w:pPr>
      <w:r>
        <w:rPr>
          <w:rFonts w:ascii="Verdana" w:hAnsi="Verdana"/>
          <w:sz w:val="22"/>
          <w:szCs w:val="22"/>
          <w:u w:val="single"/>
        </w:rPr>
        <w:t>VOTOS</w:t>
      </w:r>
    </w:p>
    <w:p>
      <w:pPr>
        <w:pStyle w:val="style0"/>
        <w:ind w:firstLine="2268" w:left="0" w:right="0"/>
      </w:pPr>
      <w:r>
        <w:rPr>
          <w:rFonts w:ascii="Verdana" w:hAnsi="Verdana"/>
          <w:sz w:val="22"/>
          <w:szCs w:val="22"/>
        </w:rPr>
      </w:r>
    </w:p>
    <w:p>
      <w:pPr>
        <w:pStyle w:val="style0"/>
        <w:ind w:firstLine="2268" w:left="0" w:right="0"/>
      </w:pPr>
      <w:r>
        <w:rPr>
          <w:rFonts w:ascii="Verdana" w:hAnsi="Verdana"/>
          <w:sz w:val="22"/>
          <w:szCs w:val="22"/>
        </w:rPr>
        <w:t>De acordo com o relator</w:t>
      </w:r>
    </w:p>
    <w:p>
      <w:pPr>
        <w:pStyle w:val="style0"/>
        <w:ind w:firstLine="2268" w:left="0" w:right="0"/>
      </w:pPr>
      <w:r>
        <w:rPr>
          <w:rFonts w:ascii="Verdana" w:hAnsi="Verdana"/>
          <w:sz w:val="22"/>
          <w:szCs w:val="22"/>
        </w:rPr>
      </w:r>
    </w:p>
    <w:p>
      <w:pPr>
        <w:pStyle w:val="style0"/>
        <w:ind w:firstLine="2268" w:left="0" w:right="0"/>
      </w:pPr>
      <w:r>
        <w:rPr>
          <w:rFonts w:ascii="Verdana" w:hAnsi="Verdana"/>
          <w:sz w:val="22"/>
          <w:szCs w:val="22"/>
        </w:rPr>
      </w:r>
    </w:p>
    <w:p>
      <w:pPr>
        <w:pStyle w:val="style0"/>
        <w:ind w:firstLine="2268" w:left="0" w:right="0"/>
      </w:pPr>
      <w:r>
        <w:rPr>
          <w:rFonts w:ascii="Verdana" w:hAnsi="Verdana"/>
          <w:sz w:val="22"/>
          <w:szCs w:val="22"/>
        </w:rPr>
        <w:t>Fabrício Augusto Carvalho do Nascimento.</w:t>
      </w:r>
    </w:p>
    <w:p>
      <w:pPr>
        <w:pStyle w:val="style0"/>
        <w:ind w:firstLine="2268" w:left="0" w:right="0"/>
      </w:pPr>
      <w:r>
        <w:rPr>
          <w:rFonts w:ascii="Verdana" w:hAnsi="Verdana"/>
          <w:sz w:val="22"/>
          <w:szCs w:val="22"/>
        </w:rPr>
        <w:t>Vereador</w:t>
      </w:r>
    </w:p>
    <w:p>
      <w:pPr>
        <w:pStyle w:val="style0"/>
        <w:ind w:firstLine="2268" w:left="0" w:right="0"/>
      </w:pPr>
      <w:r>
        <w:rPr>
          <w:rFonts w:ascii="Verdana" w:hAnsi="Verdana"/>
          <w:sz w:val="22"/>
          <w:szCs w:val="22"/>
        </w:rPr>
      </w:r>
    </w:p>
    <w:p>
      <w:pPr>
        <w:pStyle w:val="style0"/>
        <w:ind w:firstLine="2268" w:left="0" w:right="0"/>
      </w:pPr>
      <w:r>
        <w:rPr>
          <w:rFonts w:ascii="Verdana" w:hAnsi="Verdana"/>
          <w:sz w:val="22"/>
          <w:szCs w:val="22"/>
        </w:rPr>
      </w:r>
    </w:p>
    <w:p>
      <w:pPr>
        <w:pStyle w:val="style0"/>
        <w:ind w:firstLine="2268" w:left="0" w:right="0"/>
      </w:pPr>
      <w:r>
        <w:rPr>
          <w:rFonts w:ascii="Verdana" w:hAnsi="Verdana"/>
          <w:sz w:val="22"/>
          <w:szCs w:val="22"/>
        </w:rPr>
        <w:t>Voto contrariamente ao relator.</w:t>
      </w:r>
    </w:p>
    <w:p>
      <w:pPr>
        <w:pStyle w:val="style0"/>
        <w:ind w:firstLine="2268" w:left="0" w:right="0"/>
      </w:pPr>
      <w:r>
        <w:rPr>
          <w:rFonts w:ascii="Verdana" w:hAnsi="Verdana"/>
        </w:rPr>
      </w:r>
    </w:p>
    <w:p>
      <w:pPr>
        <w:pStyle w:val="style0"/>
        <w:ind w:firstLine="2268" w:left="0" w:right="0"/>
      </w:pPr>
      <w:r>
        <w:rPr>
          <w:rFonts w:ascii="Verdana" w:hAnsi="Verdana"/>
        </w:rPr>
      </w:r>
    </w:p>
    <w:p>
      <w:pPr>
        <w:pStyle w:val="style0"/>
        <w:ind w:firstLine="2268" w:left="0" w:right="0"/>
      </w:pPr>
      <w:r>
        <w:rPr>
          <w:rFonts w:ascii="Verdana" w:hAnsi="Verdana"/>
        </w:rPr>
        <w:t>Renato Gomes</w:t>
      </w:r>
    </w:p>
    <w:p>
      <w:pPr>
        <w:pStyle w:val="style0"/>
        <w:ind w:firstLine="2268" w:left="0" w:right="0"/>
      </w:pPr>
      <w:r>
        <w:rPr>
          <w:rFonts w:ascii="Verdana" w:hAnsi="Verdana"/>
        </w:rPr>
        <w:t>Presidente da CFFOTC</w:t>
      </w:r>
    </w:p>
    <w:p>
      <w:pPr>
        <w:pStyle w:val="style0"/>
        <w:ind w:firstLine="2268" w:left="0" w:right="0"/>
      </w:pPr>
      <w:r>
        <w:rPr>
          <w:rFonts w:ascii="Verdana" w:hAnsi="Verdana"/>
        </w:rPr>
      </w:r>
    </w:p>
    <w:p>
      <w:pPr>
        <w:pStyle w:val="style0"/>
        <w:ind w:firstLine="2268" w:left="0" w:right="0"/>
      </w:pPr>
      <w:r>
        <w:rPr/>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erif">
    <w:altName w:val="Times New Roman"/>
    <w:charset w:val="00"/>
    <w:family w:val="roman"/>
    <w:pitch w:val="variable"/>
  </w:font>
  <w:font w:name="Tahoma">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val="false"/>
      <w:suppressAutoHyphens w:val="true"/>
      <w:spacing w:after="0" w:before="0" w:line="100" w:lineRule="atLeast"/>
      <w:contextualSpacing w:val="false"/>
    </w:pPr>
    <w:rPr>
      <w:rFonts w:ascii="Liberation Serif" w:cs="Times New Roman" w:eastAsia="DejaVu Sans" w:hAnsi="Liberation Serif"/>
      <w:color w:val="auto"/>
      <w:sz w:val="24"/>
      <w:szCs w:val="24"/>
      <w:lang w:bidi="ar-SA" w:eastAsia="pt-BR" w:val="pt-BR"/>
    </w:rPr>
  </w:style>
  <w:style w:styleId="style15" w:type="character">
    <w:name w:val="Default Paragraph Font"/>
    <w:next w:val="style15"/>
    <w:rPr/>
  </w:style>
  <w:style w:styleId="style16" w:type="character">
    <w:name w:val="Texto de balão Char"/>
    <w:basedOn w:val="style15"/>
    <w:next w:val="style16"/>
    <w:rPr>
      <w:rFonts w:ascii="Tahoma" w:cs="Tahoma" w:eastAsia="DejaVu Sans" w:hAnsi="Tahoma"/>
      <w:sz w:val="16"/>
      <w:szCs w:val="16"/>
      <w:lang w:eastAsia="pt-BR"/>
    </w:rPr>
  </w:style>
  <w:style w:styleId="style17" w:type="paragraph">
    <w:name w:val="Título"/>
    <w:basedOn w:val="style0"/>
    <w:next w:val="style18"/>
    <w:pPr>
      <w:keepNext/>
      <w:spacing w:after="120" w:before="240"/>
      <w:contextualSpacing w:val="false"/>
    </w:pPr>
    <w:rPr>
      <w:rFonts w:ascii="Arial" w:cs="Mangal" w:eastAsia="Lucida Sans Unicode" w:hAnsi="Arial"/>
      <w:sz w:val="28"/>
      <w:szCs w:val="28"/>
    </w:rPr>
  </w:style>
  <w:style w:styleId="style18" w:type="paragraph">
    <w:name w:val="Corpo do texto"/>
    <w:basedOn w:val="style0"/>
    <w:next w:val="style18"/>
    <w:pPr>
      <w:spacing w:after="120" w:before="0"/>
      <w:contextualSpacing w:val="false"/>
    </w:pPr>
    <w:rPr/>
  </w:style>
  <w:style w:styleId="style19" w:type="paragraph">
    <w:name w:val="Lista"/>
    <w:basedOn w:val="style18"/>
    <w:next w:val="style19"/>
    <w:pPr/>
    <w:rPr>
      <w:rFonts w:cs="Mangal"/>
    </w:rPr>
  </w:style>
  <w:style w:styleId="style20" w:type="paragraph">
    <w:name w:val="Legenda"/>
    <w:basedOn w:val="style0"/>
    <w:next w:val="style20"/>
    <w:pPr>
      <w:suppressLineNumbers/>
      <w:spacing w:after="120" w:before="120"/>
      <w:contextualSpacing w:val="false"/>
    </w:pPr>
    <w:rPr>
      <w:rFonts w:cs="Mangal"/>
      <w:i/>
      <w:iCs/>
      <w:sz w:val="24"/>
      <w:szCs w:val="24"/>
    </w:rPr>
  </w:style>
  <w:style w:styleId="style21" w:type="paragraph">
    <w:name w:val="Índice"/>
    <w:basedOn w:val="style0"/>
    <w:next w:val="style21"/>
    <w:pPr>
      <w:suppressLineNumbers/>
    </w:pPr>
    <w:rPr>
      <w:rFonts w:cs="Mangal"/>
    </w:rPr>
  </w:style>
  <w:style w:styleId="style22" w:type="paragraph">
    <w:name w:val="Balloon Text"/>
    <w:basedOn w:val="style0"/>
    <w:next w:val="style22"/>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2014-09-01T13:55:00.00Z</dcterms:created>
  <dc:creator>Usuario</dc:creator>
  <cp:lastModifiedBy>Usuario</cp:lastModifiedBy>
  <cp:lastPrinted>2014-09-02T13:07:00.00Z</cp:lastPrinted>
  <dcterms:modified xsi:type="dcterms:W3CDTF">2014-09-02T13:10:00.00Z</dcterms:modified>
  <cp:revision>4</cp:revision>
</cp:coreProperties>
</file>