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410200" cy="8763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Projeto</w:t>
      </w:r>
      <w:r>
        <w:rPr>
          <w:rFonts w:ascii="Verdana" w:cs="DejaVu Sans" w:hAnsi="Verdana"/>
        </w:rPr>
        <w:t xml:space="preserve"> de Lei nº 094/2014 – “Fica incluído no Calendário Oficial do Município de Sete Lagoas o Festival de Inverno Cultural e dá outras providências”.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Vereador Milton Luiz Saraiva.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 membro desta Edilidade, objetiva inserir no Calendário Oficial do Município o evento “Festival de Inverno Cultural”,  a ser realizado no mês de julho de cada ano.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 Dr. Fernando Roque, o Consultor Jurídico Dr.Itamar Pimentel,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Os Municípios brasileiros, entes federados autônomos nos termos dos arts. 1º e 18 da Constituição Federal, são dotados de capacidade legislativa para disciplinar os assuntos de interesse local de forma privativa ou suplementar, conforme ditam os incisos I e II do art. 30 da Carta Federal.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410200" cy="87630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/>
        <w:t xml:space="preserve"> 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Portanto o Município pode, no exercício de sua competência legislativa própria, instituir dias e semanas dedicados a eventos que são de interesse da população. Logo, é inegável que não há óbice à criação do “Festival de Inverno Cultural” a ocorrer no mês de julho de cada ano, evento cuja realização foi recebida de braços abertos por toda a população do Município.</w:t>
      </w:r>
    </w:p>
    <w:p>
      <w:pPr>
        <w:pStyle w:val="style0"/>
        <w:tabs>
          <w:tab w:leader="none" w:pos="2355" w:val="left"/>
        </w:tabs>
        <w:jc w:val="both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É importante frizar que a matéria em questão não se encontra no rol daquelas cuja iniciativa de lei são reservadas ao Poder Executivo, sendo que no mérito não há óbice legal quanto a sua tramitação.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Em face do exposto, este relator conclui pela </w:t>
      </w:r>
      <w:r>
        <w:rPr>
          <w:rFonts w:ascii="Verdana" w:hAnsi="Verdana"/>
        </w:rPr>
        <w:t>legalidade, constitucionalidade e juridicidade do Projeto de Lei nº 094/2014.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15" w:left="0" w:right="0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21 de agosto de 2014.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2014-08-22T18:18:00.00Z</dcterms:created>
  <dc:creator>Usuario</dc:creator>
  <cp:lastModifiedBy>Usuario</cp:lastModifiedBy>
  <dcterms:modified xsi:type="dcterms:W3CDTF">2014-08-22T18:28:00.00Z</dcterms:modified>
  <cp:revision>2</cp:revision>
</cp:coreProperties>
</file>