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firstLine="20" w:left="0" w:right="0"/>
        <w:jc w:val="center"/>
      </w:pPr>
      <w:r>
        <w:rPr>
          <w:rFonts w:ascii="Verdana" w:hAnsi="Verdana"/>
        </w:rPr>
        <w:t xml:space="preserve">                                                              </w:t>
      </w:r>
    </w:p>
    <w:p>
      <w:pPr>
        <w:pStyle w:val="style0"/>
        <w:jc w:val="center"/>
      </w:pPr>
      <w:r>
        <w:rPr>
          <w:rFonts w:ascii="Verdana" w:hAnsi="Verdana"/>
          <w:b/>
          <w:bCs/>
          <w:sz w:val="28"/>
          <w:szCs w:val="28"/>
        </w:rPr>
        <w:t>PARECER REGIMENTAL (conjunto)</w:t>
      </w:r>
    </w:p>
    <w:p>
      <w:pPr>
        <w:pStyle w:val="style0"/>
        <w:jc w:val="center"/>
      </w:pPr>
      <w:r>
        <w:rPr/>
      </w:r>
    </w:p>
    <w:p>
      <w:pPr>
        <w:pStyle w:val="style0"/>
        <w:jc w:val="center"/>
      </w:pPr>
      <w:r>
        <w:rPr>
          <w:rFonts w:ascii="Verdana" w:hAnsi="Verdana"/>
          <w:b/>
          <w:bCs/>
        </w:rPr>
        <w:t>COMISSÃO DE LEGISLAÇÃO E JUSTIÇA</w:t>
      </w:r>
    </w:p>
    <w:p>
      <w:pPr>
        <w:pStyle w:val="style0"/>
        <w:jc w:val="center"/>
      </w:pPr>
      <w:r>
        <w:rPr/>
      </w:r>
    </w:p>
    <w:p>
      <w:pPr>
        <w:pStyle w:val="style0"/>
        <w:jc w:val="center"/>
      </w:pPr>
      <w:r>
        <w:rPr>
          <w:rFonts w:ascii="Verdana" w:hAnsi="Verdana"/>
          <w:b/>
          <w:bCs/>
        </w:rPr>
        <w:t>COMISSÃO DE FISCALIZAÇÃO FINANCEIRA, ORÇAMENTÁRIA E DE TOMADA DE CONTAS.</w:t>
      </w:r>
    </w:p>
    <w:p>
      <w:pPr>
        <w:pStyle w:val="style0"/>
        <w:jc w:val="center"/>
      </w:pPr>
      <w:r>
        <w:rPr/>
      </w:r>
    </w:p>
    <w:p>
      <w:pPr>
        <w:pStyle w:val="style0"/>
      </w:pPr>
      <w:r>
        <w:rPr/>
      </w:r>
    </w:p>
    <w:p>
      <w:pPr>
        <w:pStyle w:val="style0"/>
        <w:jc w:val="both"/>
      </w:pPr>
      <w:r>
        <w:rPr>
          <w:rFonts w:ascii="Verdana" w:cs="DejaVu Sans" w:hAnsi="Verdana"/>
          <w:b/>
          <w:bCs/>
        </w:rPr>
        <w:t xml:space="preserve">MATÉRIA: </w:t>
      </w:r>
      <w:r>
        <w:rPr>
          <w:rFonts w:ascii="Verdana" w:cs="DejaVu Sans" w:hAnsi="Verdana"/>
        </w:rPr>
        <w:t>Projeto de Lei nº 041/2014 – ‘‘Autoriza abertura de crédito especial no valor de R$600.000,00 no Orçamento Fiscal do Município de Sete Lagoas, em favor da Secretaria Municipal de Educação”.</w:t>
      </w:r>
    </w:p>
    <w:p>
      <w:pPr>
        <w:pStyle w:val="style0"/>
      </w:pPr>
      <w:r>
        <w:rPr/>
      </w:r>
    </w:p>
    <w:p>
      <w:pPr>
        <w:pStyle w:val="style0"/>
        <w:pBdr>
          <w:top w:val="none"/>
          <w:left w:val="none"/>
          <w:bottom w:color="000001" w:space="0" w:sz="8" w:val="single"/>
          <w:insideH w:color="000001" w:space="0" w:sz="8" w:val="single"/>
          <w:right w:val="none"/>
          <w:insideV w:val="none"/>
        </w:pBdr>
      </w:pPr>
      <w:r>
        <w:rPr>
          <w:rFonts w:ascii="Verdana" w:cs="DejaVu Sans" w:hAnsi="Verdana"/>
          <w:b/>
          <w:bCs/>
        </w:rPr>
        <w:t>AUTOR:</w:t>
      </w:r>
      <w:r>
        <w:rPr>
          <w:rFonts w:ascii="Verdana" w:cs="DejaVu Sans" w:hAnsi="Verdana"/>
        </w:rPr>
        <w:t xml:space="preserve"> Poder Executivo Municipal.</w:t>
      </w:r>
    </w:p>
    <w:p>
      <w:pPr>
        <w:pStyle w:val="style0"/>
        <w:pBdr>
          <w:top w:val="none"/>
          <w:left w:val="none"/>
          <w:bottom w:color="000001" w:space="0" w:sz="8" w:val="single"/>
          <w:insideH w:color="000001" w:space="0" w:sz="8" w:val="single"/>
          <w:right w:val="none"/>
          <w:insideV w:val="none"/>
        </w:pBdr>
      </w:pPr>
      <w:r>
        <w:rPr/>
      </w:r>
    </w:p>
    <w:p>
      <w:pPr>
        <w:pStyle w:val="style0"/>
      </w:pPr>
      <w:r>
        <w:rPr/>
      </w:r>
    </w:p>
    <w:p>
      <w:pPr>
        <w:pStyle w:val="style0"/>
        <w:ind w:firstLine="2295" w:left="0" w:right="0"/>
        <w:jc w:val="both"/>
      </w:pPr>
      <w:r>
        <w:rPr/>
      </w:r>
    </w:p>
    <w:p>
      <w:pPr>
        <w:pStyle w:val="style0"/>
        <w:ind w:firstLine="1560" w:left="0" w:right="0"/>
        <w:jc w:val="both"/>
      </w:pPr>
      <w:r>
        <w:rPr>
          <w:rFonts w:ascii="Verdana" w:hAnsi="Verdana"/>
          <w:u w:val="single"/>
        </w:rPr>
        <w:t>Relatório</w:t>
      </w:r>
      <w:r>
        <w:rPr>
          <w:rFonts w:ascii="Verdana" w:hAnsi="Verdana"/>
        </w:rPr>
        <w:t xml:space="preserve">  </w:t>
      </w:r>
    </w:p>
    <w:p>
      <w:pPr>
        <w:pStyle w:val="style0"/>
        <w:ind w:firstLine="1560" w:left="0" w:right="0"/>
        <w:jc w:val="both"/>
      </w:pPr>
      <w:r>
        <w:rPr/>
      </w:r>
    </w:p>
    <w:p>
      <w:pPr>
        <w:pStyle w:val="style0"/>
        <w:ind w:firstLine="1560" w:left="0" w:right="0"/>
        <w:jc w:val="both"/>
      </w:pPr>
      <w:r>
        <w:rPr/>
      </w:r>
    </w:p>
    <w:p>
      <w:pPr>
        <w:pStyle w:val="style0"/>
        <w:ind w:firstLine="1560" w:left="0" w:right="0"/>
        <w:jc w:val="both"/>
      </w:pPr>
      <w:r>
        <w:rPr>
          <w:rFonts w:ascii="Verdana" w:hAnsi="Verdana"/>
        </w:rPr>
        <w:t>A proposição ora apreciada, subscrita pelo Sr. Prefeito Municipal, visa a solicitar desta Casa autorização para a abertura de crédito especial ao Orçamento da Secretaria Municipal de Educação, objetivando o acréscimo de natureza de despesa não prevista no orçamento da citada secretaria (Lei nº 8.318, de 31 de dezembro de 2013).</w:t>
      </w:r>
    </w:p>
    <w:p>
      <w:pPr>
        <w:pStyle w:val="style0"/>
        <w:ind w:firstLine="1560" w:left="0" w:right="0"/>
        <w:jc w:val="both"/>
      </w:pPr>
      <w:r>
        <w:rPr>
          <w:rFonts w:ascii="Verdana" w:hAnsi="Verdana"/>
        </w:rPr>
        <w:t xml:space="preserve"> </w:t>
      </w:r>
      <w:r>
        <w:rPr>
          <w:rFonts w:ascii="Verdana" w:hAnsi="Verdana"/>
        </w:rPr>
        <w:t>O projeto tramita em regime de urgência, tendo sido distribuído a estas Comissões para receber parecer conjunto quanto a sua constitucionalidade, legalidade e juridicidade, bem como a adequação ao Sistema Orçamentário Municipal nos termos do art. 83, §§ 1º e 2º e art. 108, incs. I e II do Regimento Interno da Câmara Municipal.</w:t>
      </w:r>
    </w:p>
    <w:p>
      <w:pPr>
        <w:pStyle w:val="style0"/>
        <w:jc w:val="both"/>
      </w:pPr>
      <w:r>
        <w:rPr>
          <w:rFonts w:ascii="Verdana" w:cs="DejaVu Sans" w:hAnsi="Verdana"/>
        </w:rPr>
        <w:t xml:space="preserve">                  </w:t>
      </w:r>
      <w:r>
        <w:rPr>
          <w:rFonts w:ascii="Verdana" w:cs="DejaVu Sans" w:hAnsi="Verdana"/>
        </w:rPr>
        <w:t>Presentes à reunião os Vereadores que compõem a Comissão de Legislação e Justiça, bem como Comissão de Fiscalização Financeira, Orçamentária e de Tomada de Contas. Presentes também o Procurador Geral do Legislativo Dr. Fernando Roque, o Consultor Jurídico Dr. Itamar Pimentel e Assessores de Gabinetes.</w:t>
      </w:r>
    </w:p>
    <w:p>
      <w:pPr>
        <w:pStyle w:val="style0"/>
        <w:ind w:firstLine="1560" w:left="0" w:right="0"/>
        <w:jc w:val="both"/>
      </w:pPr>
      <w:r>
        <w:rPr/>
      </w:r>
    </w:p>
    <w:p>
      <w:pPr>
        <w:pStyle w:val="style0"/>
        <w:ind w:firstLine="1560" w:left="0" w:right="0"/>
        <w:jc w:val="both"/>
      </w:pPr>
      <w:r>
        <w:rPr/>
      </w:r>
    </w:p>
    <w:p>
      <w:pPr>
        <w:pStyle w:val="style0"/>
        <w:ind w:firstLine="15" w:left="0" w:right="0"/>
        <w:jc w:val="both"/>
      </w:pPr>
      <w:r>
        <w:rPr/>
      </w:r>
    </w:p>
    <w:p>
      <w:pPr>
        <w:pStyle w:val="style0"/>
        <w:ind w:firstLine="1843" w:left="0" w:right="0"/>
        <w:jc w:val="both"/>
      </w:pPr>
      <w:r>
        <w:rPr>
          <w:sz w:val="22"/>
          <w:szCs w:val="22"/>
          <w:u w:val="single"/>
        </w:rPr>
        <w:t xml:space="preserve"> </w:t>
      </w:r>
      <w:r>
        <w:rPr>
          <w:rFonts w:ascii="Verdana" w:hAnsi="Verdana"/>
          <w:sz w:val="22"/>
          <w:szCs w:val="22"/>
          <w:u w:val="single"/>
        </w:rPr>
        <w:t>Fundamentação</w:t>
      </w:r>
    </w:p>
    <w:p>
      <w:pPr>
        <w:pStyle w:val="style0"/>
        <w:ind w:firstLine="1560" w:left="0" w:right="0"/>
        <w:jc w:val="both"/>
      </w:pPr>
      <w:r>
        <w:rPr/>
      </w:r>
    </w:p>
    <w:p>
      <w:pPr>
        <w:pStyle w:val="style0"/>
        <w:ind w:firstLine="1800" w:left="0" w:right="0"/>
        <w:jc w:val="both"/>
      </w:pPr>
      <w:r>
        <w:rPr>
          <w:rFonts w:ascii="Verdana" w:hAnsi="Verdana"/>
          <w:sz w:val="22"/>
          <w:szCs w:val="22"/>
        </w:rPr>
        <w:t xml:space="preserve">Os créditos especiais são abertos para um novo programa, projeto ou atividade, discriminado por seus elementos de despesa, pessoal, material e outros, visando a atender objetivo não previsto no Orçamento, como no caso ora analisado. </w:t>
      </w:r>
    </w:p>
    <w:p>
      <w:pPr>
        <w:pStyle w:val="style0"/>
        <w:ind w:firstLine="1800" w:left="0" w:right="0"/>
        <w:jc w:val="both"/>
      </w:pPr>
      <w:r>
        <w:rPr>
          <w:rFonts w:ascii="Verdana" w:hAnsi="Verdana"/>
          <w:sz w:val="22"/>
          <w:szCs w:val="22"/>
        </w:rPr>
        <w:t>O fim colimado pelo autor da proposição se constitui na inclusão de rubrica orçamentária em favor da Secretaria Municipal de Educação, possibilitando a alocação de recursos a serem destinados ao custeio de despesas referentes a indenizações e restituições vinculadas aos programas da área de Educação, mais especificamente à indenização objeto do Projeto de Lei nº 37/2014 em tramitação nesta Casa Legislativa.</w:t>
      </w:r>
    </w:p>
    <w:p>
      <w:pPr>
        <w:pStyle w:val="style0"/>
        <w:ind w:firstLine="1800" w:left="0" w:right="0"/>
        <w:jc w:val="both"/>
      </w:pPr>
      <w:r>
        <w:rPr>
          <w:rFonts w:ascii="Verdana" w:hAnsi="Verdana"/>
          <w:sz w:val="22"/>
          <w:szCs w:val="22"/>
        </w:rPr>
        <w:t xml:space="preserve">  </w:t>
      </w:r>
      <w:r>
        <w:rPr>
          <w:rFonts w:ascii="Verdana" w:hAnsi="Verdana"/>
          <w:sz w:val="22"/>
          <w:szCs w:val="22"/>
        </w:rPr>
        <w:t xml:space="preserve">Para fazer frente aos créditos então gerados, está sendo proposto a </w:t>
      </w:r>
      <w:r>
        <w:rPr>
          <w:rFonts w:ascii="Verdana" w:eastAsia="Times New Roman" w:hAnsi="Verdana"/>
          <w:sz w:val="22"/>
          <w:szCs w:val="22"/>
          <w:lang w:eastAsia="ar-SA"/>
        </w:rPr>
        <w:t>anulação parcial dos recursos indicados no art. 1º do projeto, em atendimento ao disposto no inciso III do art. 43 da Lei nº 4.320, de 1964, Lei de Contabilidade Pública, sendo que, conforme consta na Mensagem anexa ao projeto, a anulação parcial da dotação que dará origem ao crédito proposto não afetará as atividades desenvolvidas pela Secretaria Municipal de Educação.</w:t>
      </w:r>
    </w:p>
    <w:p>
      <w:pPr>
        <w:pStyle w:val="style0"/>
        <w:jc w:val="both"/>
      </w:pPr>
      <w:r>
        <w:rPr>
          <w:rFonts w:ascii="Verdana" w:eastAsia="Times New Roman" w:hAnsi="Verdana"/>
          <w:sz w:val="22"/>
          <w:szCs w:val="22"/>
          <w:lang w:eastAsia="ar-SA"/>
        </w:rPr>
        <w:t xml:space="preserve">                       </w:t>
      </w:r>
      <w:r>
        <w:rPr>
          <w:rFonts w:ascii="Verdana" w:eastAsia="Times New Roman" w:hAnsi="Verdana"/>
          <w:sz w:val="22"/>
          <w:szCs w:val="22"/>
          <w:lang w:eastAsia="ar-SA"/>
        </w:rPr>
        <w:t>No que tange à autorização de suplementação no percentual de 25% dos valores da despesa constante na proposição (art. 3º), é mister pontuar que mesmo os créditos especiais podem ser suplementados, caso a verba inicialmente prevista não seja suficiente para cumprir o programa. A própria lei que institui o crédito especial poderá trazer no seu texto, como no presente caso, a autorização para suplementação ou fazê-lo por meio de lei específica. Lembremos que o crédito especial não integra o Orçamento, mas a execução orçamentária. O percentual para suplementação contido na Lei Orçamentária não se aplica aos créditos especiais, razão pela qual é solicitado a autorização para suplementação conforme art. 2º do projeto.</w:t>
      </w:r>
    </w:p>
    <w:p>
      <w:pPr>
        <w:pStyle w:val="style0"/>
        <w:ind w:firstLine="1800" w:left="0" w:right="0"/>
        <w:jc w:val="both"/>
      </w:pPr>
      <w:r>
        <w:rPr/>
      </w:r>
    </w:p>
    <w:p>
      <w:pPr>
        <w:pStyle w:val="style0"/>
        <w:ind w:firstLine="1800" w:left="0" w:right="0"/>
        <w:jc w:val="both"/>
      </w:pPr>
      <w:r>
        <w:rPr>
          <w:rFonts w:ascii="Verdana" w:hAnsi="Verdana"/>
          <w:sz w:val="22"/>
          <w:szCs w:val="22"/>
          <w:u w:val="single"/>
        </w:rPr>
        <w:t>Conclusão</w:t>
      </w:r>
    </w:p>
    <w:p>
      <w:pPr>
        <w:pStyle w:val="style0"/>
        <w:ind w:firstLine="1800" w:left="0" w:right="0"/>
        <w:jc w:val="both"/>
      </w:pPr>
      <w:r>
        <w:rPr/>
      </w:r>
    </w:p>
    <w:p>
      <w:pPr>
        <w:pStyle w:val="style0"/>
        <w:ind w:firstLine="1843" w:left="0" w:right="0"/>
        <w:jc w:val="both"/>
      </w:pPr>
      <w:r>
        <w:rPr>
          <w:rFonts w:ascii="Verdana" w:cs="DejaVu Sans" w:hAnsi="Verdana"/>
          <w:sz w:val="22"/>
          <w:szCs w:val="22"/>
        </w:rPr>
        <w:t>Em face do exposto, concluimos pela constitucionalidade, juridicidade e legalidade</w:t>
      </w:r>
      <w:r>
        <w:rPr>
          <w:rFonts w:ascii="Verdana" w:hAnsi="Verdana"/>
          <w:sz w:val="22"/>
          <w:szCs w:val="22"/>
        </w:rPr>
        <w:t xml:space="preserve"> do Projeto de Lei nº 041/2014, bem como pela sua adequação ao Sistema Orçamentário Municipal.</w:t>
      </w:r>
    </w:p>
    <w:p>
      <w:pPr>
        <w:pStyle w:val="style0"/>
        <w:ind w:firstLine="2295" w:left="0" w:right="0"/>
        <w:jc w:val="both"/>
      </w:pPr>
      <w:r>
        <w:rPr/>
      </w:r>
    </w:p>
    <w:p>
      <w:pPr>
        <w:pStyle w:val="style0"/>
        <w:ind w:firstLine="1843" w:left="0" w:right="0"/>
        <w:jc w:val="both"/>
      </w:pPr>
      <w:r>
        <w:rPr>
          <w:rFonts w:ascii="Verdana" w:cs="DejaVu Sans" w:hAnsi="Verdana"/>
          <w:sz w:val="22"/>
          <w:szCs w:val="22"/>
        </w:rPr>
        <w:t>Sala das Reuniões, 10 de abril de 2014.</w:t>
      </w:r>
    </w:p>
    <w:p>
      <w:pPr>
        <w:pStyle w:val="style0"/>
        <w:ind w:firstLine="1843" w:left="0" w:right="0"/>
        <w:jc w:val="both"/>
      </w:pPr>
      <w:r>
        <w:rPr/>
      </w:r>
    </w:p>
    <w:p>
      <w:pPr>
        <w:pStyle w:val="style0"/>
        <w:ind w:firstLine="1843" w:left="0" w:right="0"/>
        <w:jc w:val="both"/>
      </w:pPr>
      <w:r>
        <w:rPr/>
      </w:r>
    </w:p>
    <w:p>
      <w:pPr>
        <w:pStyle w:val="style0"/>
        <w:ind w:firstLine="1843" w:left="0" w:right="0"/>
      </w:pPr>
      <w:r>
        <w:rPr>
          <w:rFonts w:ascii="Verdana" w:cs="DejaVu Sans" w:hAnsi="Verdana"/>
          <w:sz w:val="22"/>
          <w:szCs w:val="22"/>
        </w:rPr>
        <w:t>Dalton Antônio Avelar Andrade</w:t>
      </w:r>
    </w:p>
    <w:p>
      <w:pPr>
        <w:pStyle w:val="style0"/>
        <w:ind w:firstLine="1843" w:left="0" w:right="0"/>
      </w:pPr>
      <w:r>
        <w:rPr>
          <w:rFonts w:ascii="Verdana" w:cs="DejaVu Sans" w:hAnsi="Verdana"/>
          <w:sz w:val="22"/>
          <w:szCs w:val="22"/>
        </w:rPr>
        <w:t>Relator</w:t>
      </w:r>
    </w:p>
    <w:p>
      <w:pPr>
        <w:pStyle w:val="style0"/>
        <w:ind w:firstLine="1843" w:left="0" w:right="0"/>
      </w:pPr>
      <w:r>
        <w:rPr/>
      </w:r>
    </w:p>
    <w:p>
      <w:pPr>
        <w:pStyle w:val="style0"/>
        <w:ind w:firstLine="1843" w:left="0" w:right="0"/>
      </w:pPr>
      <w:r>
        <w:rPr/>
      </w:r>
    </w:p>
    <w:p>
      <w:pPr>
        <w:pStyle w:val="style0"/>
        <w:ind w:firstLine="1843" w:left="0" w:right="0"/>
      </w:pPr>
      <w:r>
        <w:rPr>
          <w:rFonts w:ascii="Verdana" w:cs="DejaVu Sans" w:hAnsi="Verdana"/>
          <w:sz w:val="22"/>
          <w:szCs w:val="22"/>
        </w:rPr>
        <w:t xml:space="preserve"> </w:t>
      </w:r>
      <w:r>
        <w:rPr>
          <w:rFonts w:ascii="Verdana" w:cs="DejaVu Sans" w:hAnsi="Verdana"/>
          <w:sz w:val="22"/>
          <w:szCs w:val="22"/>
        </w:rPr>
        <w:t>Fabricio Augusto Carvalho do Nascimento</w:t>
      </w:r>
    </w:p>
    <w:p>
      <w:pPr>
        <w:pStyle w:val="style0"/>
        <w:ind w:firstLine="1843" w:left="0" w:right="0"/>
      </w:pPr>
      <w:r>
        <w:rPr>
          <w:rFonts w:ascii="Verdana" w:cs="DejaVu Sans" w:hAnsi="Verdana"/>
          <w:sz w:val="22"/>
          <w:szCs w:val="22"/>
        </w:rPr>
        <w:t xml:space="preserve"> </w:t>
      </w:r>
      <w:r>
        <w:rPr>
          <w:rFonts w:ascii="Verdana" w:cs="DejaVu Sans" w:hAnsi="Verdana"/>
          <w:sz w:val="22"/>
          <w:szCs w:val="22"/>
        </w:rPr>
        <w:t>Relator</w:t>
      </w:r>
    </w:p>
    <w:p>
      <w:pPr>
        <w:pStyle w:val="style0"/>
        <w:ind w:firstLine="1843" w:left="0" w:right="0"/>
      </w:pPr>
      <w:r>
        <w:rPr/>
      </w:r>
    </w:p>
    <w:p>
      <w:pPr>
        <w:pStyle w:val="style0"/>
        <w:ind w:firstLine="1843" w:left="0" w:right="0"/>
      </w:pPr>
      <w:r>
        <w:rPr>
          <w:rFonts w:ascii="Verdana" w:cs="DejaVu Sans" w:hAnsi="Verdana"/>
        </w:rPr>
        <w:t xml:space="preserve">     </w:t>
      </w:r>
    </w:p>
    <w:p>
      <w:pPr>
        <w:pStyle w:val="style0"/>
        <w:ind w:firstLine="2340" w:left="0" w:right="0"/>
      </w:pPr>
      <w:r>
        <w:rPr/>
      </w:r>
    </w:p>
    <w:p>
      <w:pPr>
        <w:pStyle w:val="style0"/>
        <w:ind w:firstLine="1843" w:left="0" w:right="0"/>
      </w:pPr>
      <w:r>
        <w:rPr/>
      </w:r>
    </w:p>
    <w:p>
      <w:pPr>
        <w:pStyle w:val="style0"/>
        <w:ind w:firstLine="2340" w:left="0" w:right="0"/>
      </w:pPr>
      <w:r>
        <w:rPr>
          <w:rFonts w:ascii="Verdana" w:cs="DejaVu Sans" w:hAnsi="Verdana"/>
          <w:u w:val="single"/>
        </w:rPr>
        <w:t>V  O T O S</w:t>
      </w:r>
    </w:p>
    <w:p>
      <w:pPr>
        <w:pStyle w:val="style0"/>
        <w:ind w:firstLine="2295" w:left="0" w:right="0"/>
      </w:pPr>
      <w:r>
        <w:rPr/>
      </w:r>
    </w:p>
    <w:p>
      <w:pPr>
        <w:pStyle w:val="style0"/>
        <w:ind w:firstLine="2295" w:left="0" w:right="0"/>
      </w:pPr>
      <w:r>
        <w:rPr>
          <w:rFonts w:ascii="Verdana" w:cs="DejaVu Sans" w:hAnsi="Verdana"/>
        </w:rPr>
        <w:t>De acordo com os relatores.</w:t>
      </w:r>
    </w:p>
    <w:p>
      <w:pPr>
        <w:pStyle w:val="style0"/>
        <w:ind w:firstLine="2295" w:left="0" w:right="0"/>
      </w:pPr>
      <w:r>
        <w:rPr/>
      </w:r>
    </w:p>
    <w:p>
      <w:pPr>
        <w:pStyle w:val="style0"/>
        <w:ind w:firstLine="2295" w:left="0" w:right="0"/>
      </w:pPr>
      <w:r>
        <w:rPr>
          <w:rFonts w:ascii="Verdana" w:cs="DejaVu Sans" w:hAnsi="Verdana"/>
          <w:b/>
        </w:rPr>
        <w:t>COMISSÃO DE LEGISLAÇÃO E JUSTIÇA</w:t>
      </w:r>
    </w:p>
    <w:p>
      <w:pPr>
        <w:pStyle w:val="style0"/>
        <w:ind w:firstLine="2295" w:left="0" w:right="0"/>
      </w:pPr>
      <w:r>
        <w:rPr/>
      </w:r>
    </w:p>
    <w:p>
      <w:pPr>
        <w:pStyle w:val="style0"/>
        <w:ind w:firstLine="2295" w:left="0" w:right="0"/>
      </w:pPr>
      <w:r>
        <w:rPr/>
      </w:r>
    </w:p>
    <w:p>
      <w:pPr>
        <w:pStyle w:val="style0"/>
        <w:ind w:firstLine="2295" w:left="0" w:right="0"/>
      </w:pPr>
      <w:r>
        <w:rPr>
          <w:rFonts w:ascii="Verdana" w:cs="DejaVu Sans" w:hAnsi="Verdana"/>
        </w:rPr>
        <w:t>Euro de Andrade Lanza</w:t>
      </w:r>
    </w:p>
    <w:p>
      <w:pPr>
        <w:pStyle w:val="style0"/>
        <w:ind w:firstLine="2295" w:left="0" w:right="0"/>
      </w:pPr>
      <w:r>
        <w:rPr>
          <w:rFonts w:ascii="Verdana" w:cs="DejaVu Sans" w:hAnsi="Verdana"/>
        </w:rPr>
        <w:t>Presidente</w:t>
      </w:r>
    </w:p>
    <w:p>
      <w:pPr>
        <w:pStyle w:val="style0"/>
        <w:ind w:firstLine="2295" w:left="0" w:right="0"/>
      </w:pPr>
      <w:r>
        <w:rPr/>
      </w:r>
    </w:p>
    <w:p>
      <w:pPr>
        <w:pStyle w:val="style0"/>
        <w:ind w:firstLine="2295" w:left="0" w:right="0"/>
      </w:pPr>
      <w:r>
        <w:rPr/>
      </w:r>
    </w:p>
    <w:p>
      <w:pPr>
        <w:pStyle w:val="style0"/>
        <w:ind w:firstLine="2295" w:left="0" w:right="0"/>
      </w:pPr>
      <w:r>
        <w:rPr>
          <w:rFonts w:ascii="Verdana" w:cs="DejaVu Sans" w:hAnsi="Verdana"/>
        </w:rPr>
        <w:t>Marcelo Pires Rodrigues</w:t>
      </w:r>
    </w:p>
    <w:p>
      <w:pPr>
        <w:pStyle w:val="style0"/>
        <w:ind w:firstLine="2295" w:left="0" w:right="0"/>
      </w:pPr>
      <w:r>
        <w:rPr>
          <w:rFonts w:ascii="Verdana" w:cs="DejaVu Sans" w:hAnsi="Verdana"/>
        </w:rPr>
        <w:t>Vereador</w:t>
      </w:r>
    </w:p>
    <w:p>
      <w:pPr>
        <w:pStyle w:val="style0"/>
        <w:ind w:firstLine="2295" w:left="0" w:right="0"/>
      </w:pPr>
      <w:r>
        <w:rPr/>
      </w:r>
    </w:p>
    <w:p>
      <w:pPr>
        <w:pStyle w:val="style0"/>
        <w:ind w:firstLine="2295" w:left="0" w:right="0"/>
      </w:pPr>
      <w:r>
        <w:rPr/>
      </w:r>
    </w:p>
    <w:p>
      <w:pPr>
        <w:pStyle w:val="style0"/>
        <w:ind w:hanging="2268" w:left="2268" w:right="0"/>
      </w:pPr>
      <w:r>
        <w:rPr>
          <w:rFonts w:ascii="Verdana" w:hAnsi="Verdana"/>
          <w:b/>
        </w:rPr>
        <w:t>COMISSÃO DE FISCALIZAÇÃO FINANCEIRA E ORÇAMENTÁRIA E          DE TOMADA DE CONTAS</w:t>
      </w:r>
    </w:p>
    <w:p>
      <w:pPr>
        <w:pStyle w:val="style0"/>
        <w:ind w:firstLine="2220" w:left="0" w:right="0"/>
      </w:pPr>
      <w:r>
        <w:rPr/>
      </w:r>
    </w:p>
    <w:p>
      <w:pPr>
        <w:pStyle w:val="style0"/>
        <w:ind w:firstLine="2220" w:left="0" w:right="0"/>
      </w:pPr>
      <w:r>
        <w:rPr/>
      </w:r>
    </w:p>
    <w:p>
      <w:pPr>
        <w:pStyle w:val="style0"/>
        <w:ind w:firstLine="2220" w:left="0" w:right="0"/>
      </w:pPr>
      <w:r>
        <w:rPr>
          <w:rFonts w:ascii="Verdana" w:hAnsi="Verdana"/>
        </w:rPr>
        <w:t>Renato Gomes</w:t>
      </w:r>
    </w:p>
    <w:p>
      <w:pPr>
        <w:pStyle w:val="style0"/>
        <w:ind w:firstLine="2220" w:left="0" w:right="0"/>
      </w:pPr>
      <w:r>
        <w:rPr>
          <w:rFonts w:ascii="Verdana" w:hAnsi="Verdana"/>
        </w:rPr>
        <w:t>Presidente</w:t>
      </w:r>
    </w:p>
    <w:p>
      <w:pPr>
        <w:pStyle w:val="style0"/>
        <w:ind w:firstLine="2220" w:left="0" w:right="0"/>
      </w:pPr>
      <w:r>
        <w:rPr/>
      </w:r>
    </w:p>
    <w:p>
      <w:pPr>
        <w:pStyle w:val="style0"/>
        <w:ind w:firstLine="2220" w:left="0" w:right="0"/>
      </w:pPr>
      <w:r>
        <w:rPr/>
      </w:r>
    </w:p>
    <w:p>
      <w:pPr>
        <w:pStyle w:val="style0"/>
        <w:ind w:firstLine="2220" w:left="0" w:right="0"/>
      </w:pPr>
      <w:r>
        <w:rPr/>
      </w:r>
    </w:p>
    <w:p>
      <w:pPr>
        <w:pStyle w:val="style0"/>
      </w:pPr>
      <w:r>
        <w:rPr/>
      </w:r>
    </w:p>
    <w:sectPr>
      <w:type w:val="nextPage"/>
      <w:pgSz w:h="16838" w:w="11906"/>
      <w:pgMar w:bottom="1417" w:footer="0" w:gutter="0" w:header="0" w:left="1701" w:right="1701"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Estilo padrão"/>
    <w:next w:val="style0"/>
    <w:pPr>
      <w:widowControl w:val="false"/>
      <w:suppressAutoHyphens w:val="true"/>
      <w:spacing w:after="0" w:before="0" w:line="100" w:lineRule="atLeast"/>
      <w:contextualSpacing w:val="false"/>
    </w:pPr>
    <w:rPr>
      <w:rFonts w:ascii="Liberation Serif" w:cs="Times New Roman" w:eastAsia="DejaVu Sans" w:hAnsi="Liberation Serif"/>
      <w:color w:val="00000A"/>
      <w:sz w:val="24"/>
      <w:szCs w:val="24"/>
      <w:lang w:bidi="ar-SA" w:eastAsia="pt-BR" w:val="pt-BR"/>
    </w:rPr>
  </w:style>
  <w:style w:styleId="style15" w:type="character">
    <w:name w:val="Default Paragraph Font"/>
    <w:next w:val="style15"/>
    <w:rPr/>
  </w:style>
  <w:style w:styleId="style16" w:type="paragraph">
    <w:name w:val="Título"/>
    <w:basedOn w:val="style0"/>
    <w:next w:val="style17"/>
    <w:pPr>
      <w:keepNext/>
      <w:spacing w:after="120" w:before="240"/>
      <w:contextualSpacing w:val="false"/>
    </w:pPr>
    <w:rPr>
      <w:rFonts w:ascii="Arial" w:cs="Mangal" w:eastAsia="Lucida Sans Unicode" w:hAnsi="Arial"/>
      <w:sz w:val="28"/>
      <w:szCs w:val="28"/>
    </w:rPr>
  </w:style>
  <w:style w:styleId="style17" w:type="paragraph">
    <w:name w:val="Corpo do texto"/>
    <w:basedOn w:val="style0"/>
    <w:next w:val="style17"/>
    <w:pPr>
      <w:spacing w:after="120" w:before="0"/>
      <w:contextualSpacing w:val="false"/>
    </w:pPr>
    <w:rPr/>
  </w:style>
  <w:style w:styleId="style18" w:type="paragraph">
    <w:name w:val="Lista"/>
    <w:basedOn w:val="style17"/>
    <w:next w:val="style18"/>
    <w:pPr/>
    <w:rPr>
      <w:rFonts w:cs="Mangal"/>
    </w:rPr>
  </w:style>
  <w:style w:styleId="style19" w:type="paragraph">
    <w:name w:val="Legenda"/>
    <w:basedOn w:val="style0"/>
    <w:next w:val="style19"/>
    <w:pPr>
      <w:suppressLineNumbers/>
      <w:spacing w:after="120" w:before="120"/>
      <w:contextualSpacing w:val="false"/>
    </w:pPr>
    <w:rPr>
      <w:rFonts w:cs="Mangal"/>
      <w:i/>
      <w:iCs/>
      <w:sz w:val="24"/>
      <w:szCs w:val="24"/>
    </w:rPr>
  </w:style>
  <w:style w:styleId="style20" w:type="paragraph">
    <w:name w:val="Índice"/>
    <w:basedOn w:val="style0"/>
    <w:next w:val="style20"/>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2014-04-22T11:26:00.00Z</dcterms:created>
  <dc:creator>Usuario</dc:creator>
  <cp:lastModifiedBy>Usuario</cp:lastModifiedBy>
  <cp:lastPrinted>2014-04-22T11:37:00.00Z</cp:lastPrinted>
  <dcterms:modified xsi:type="dcterms:W3CDTF">2014-04-22T11:39:00.00Z</dcterms:modified>
  <cp:revision>3</cp:revision>
</cp:coreProperties>
</file>