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media/image2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firstLine="20" w:left="0" w:right="0"/>
        <w:jc w:val="center"/>
      </w:pPr>
      <w:r>
        <w:rPr>
          <w:drawing>
            <wp:inline distB="0" distL="0" distR="0" distT="0">
              <wp:extent cx="4629150" cy="771525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2915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hAnsi="Verdana"/>
        </w:rPr>
        <w:t xml:space="preserve">                              </w:t>
      </w:r>
      <w:r>
        <w:rPr>
          <w:rFonts w:ascii="Verdana" w:hAnsi="Verdana"/>
          <w:sz w:val="32"/>
          <w:szCs w:val="32"/>
        </w:rPr>
        <w:t xml:space="preserve">                           </w:t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  <w:t>PARECER REGIMENTAL</w:t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</w:r>
    </w:p>
    <w:p>
      <w:pPr>
        <w:pStyle w:val="style0"/>
      </w:pPr>
      <w:r>
        <w:rPr>
          <w:rFonts w:ascii="Verdana" w:cs="DejaVu Sans" w:hAnsi="Verdana"/>
          <w:b/>
          <w:bCs/>
          <w:sz w:val="28"/>
          <w:szCs w:val="28"/>
        </w:rPr>
        <w:t>COMISSÃO DE LEGISLAÇÃO E JUSTIÇA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Verdana" w:cs="DejaVu Sans" w:hAnsi="Verdana"/>
          <w:b/>
          <w:bCs/>
          <w:sz w:val="28"/>
          <w:szCs w:val="28"/>
        </w:rPr>
        <w:t>MATÉRIA:</w:t>
      </w:r>
      <w:r>
        <w:rPr>
          <w:rFonts w:ascii="Verdana" w:cs="DejaVu Sans" w:hAnsi="Verdana"/>
          <w:sz w:val="28"/>
          <w:szCs w:val="28"/>
        </w:rPr>
        <w:t xml:space="preserve"> </w:t>
      </w:r>
      <w:r>
        <w:rPr>
          <w:rFonts w:ascii="Verdana" w:cs="DejaVu Sans" w:hAnsi="Verdana"/>
        </w:rPr>
        <w:t>Anteprojeto de Lei nº 037/2014 - “Dispõe sobre ações socioeducativas nas escolas da rede pública municipal que visem a prevenção de violência contra a mulher”.</w:t>
      </w:r>
    </w:p>
    <w:p>
      <w:pPr>
        <w:pStyle w:val="style0"/>
        <w:jc w:val="both"/>
      </w:pPr>
      <w:r>
        <w:rPr>
          <w:rFonts w:ascii="Verdana" w:cs="DejaVu Sans" w:hAnsi="Verdana"/>
          <w:sz w:val="28"/>
          <w:szCs w:val="28"/>
        </w:rPr>
      </w:r>
    </w:p>
    <w:p>
      <w:pPr>
        <w:pStyle w:val="style0"/>
        <w:jc w:val="both"/>
      </w:pPr>
      <w:r>
        <w:rPr>
          <w:rFonts w:ascii="Verdana" w:cs="DejaVu Sans" w:hAnsi="Verdana"/>
          <w:b/>
          <w:bCs/>
          <w:sz w:val="28"/>
          <w:szCs w:val="28"/>
        </w:rPr>
        <w:t xml:space="preserve">AUTOR: </w:t>
      </w:r>
      <w:r>
        <w:rPr>
          <w:rFonts w:ascii="Verdana" w:cs="DejaVu Sans" w:hAnsi="Verdana"/>
        </w:rPr>
        <w:t>Vereador Fabrício Nascimento.</w:t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rFonts w:ascii="Verdana" w:cs="DejaVu Sans" w:hAnsi="Verdana"/>
          <w:sz w:val="26"/>
          <w:szCs w:val="26"/>
        </w:rPr>
        <w:t>___________________________________________________</w:t>
      </w:r>
    </w:p>
    <w:p>
      <w:pPr>
        <w:pStyle w:val="style0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  <w:t>Relatório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A proposição em epígrafe, cuja autoria pertence a membro desta edilidade, visa a criar um programa público a ser desenvolvido junto a rede municipal de ensino, cujo objetivo é a erradicação de toda forma de violência e discriminação contra a mulher.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 xml:space="preserve"> </w:t>
      </w:r>
      <w:r>
        <w:rPr>
          <w:rFonts w:ascii="Verdana" w:cs="DejaVu Sans" w:hAnsi="Verdana"/>
        </w:rPr>
        <w:t>O anteprojeto foi distribuído a esta Comissão de Legislação e Justiça para receber parecer quanto aos aspectos de sua juridicidade, constitucionalidade e legalidade, nos termos do disposto no art. 169 c/c art. 69 e § 1º do art. 83 do Regimento Interno.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Presentes às reunião o Vereador Euro de Andrade Lanza (Presidente), o Vereador Dalton Antônio de Avelar Andrade (Relator) e o Vereador Marcelo Pires Rodrigues, além do Procurador Geral do Legislativo Dr.Fernando Roque, o consultor Jurídico Dr. Itamar Pimentel, assessores de gabinetes e munícipes.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  <w:t>Fundamentação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6"/>
          <w:szCs w:val="26"/>
        </w:rPr>
        <w:t xml:space="preserve">Em decorrência do princípio da simetria das formas, informador do Direito Constitucional Brasileiro, impõe-se ao Poder Legislativo, em todos os níveis federativos, respeitar as balizas a sua iniciativa legiferante estabelecidas pelo art.  61, </w:t>
      </w:r>
    </w:p>
    <w:p>
      <w:pPr>
        <w:pStyle w:val="style0"/>
        <w:jc w:val="both"/>
      </w:pPr>
      <w:r>
        <w:rPr>
          <w:rFonts w:ascii="Verdana" w:cs="DejaVu Sans" w:hAnsi="Verdana"/>
        </w:rPr>
        <w:t>§ 1º, I e II, reafirmadas, por sua vez, pelo art. 84, III, todos da Constituição da República.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Nessa linha, sucede que a criação de programas, projetos ou ações de governo é primazia do Chefe do Poder Executivo</w:t>
      </w:r>
    </w:p>
    <w:p>
      <w:pPr>
        <w:pStyle w:val="style0"/>
        <w:jc w:val="both"/>
      </w:pPr>
      <w:r>
        <w:rPr>
          <w:drawing>
            <wp:inline distB="0" distL="0" distR="0" distT="0">
              <wp:extent cx="4629150" cy="771525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2915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rFonts w:ascii="Verdana" w:cs="DejaVu Sans" w:hAnsi="Verdana"/>
        </w:rPr>
        <w:t xml:space="preserve">pela aplicação conjugada das regras introduzidas pelos arts. 61, § 1º, II, “e”, e 84, II e III,  da Carta   Federal.  Isso  porque  essa prerrogativa deságua na criação e atribuição de tarefas adicionais para os órgãos que compõem a estrutura da Prefeitura, além de gerar novas despesas para o Orçamento municipal, o  que  é  defeso ao Poder Legislativo, a bem da preservação do princípio basilar da independência e harmonia entre os Poderes.  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Portanto, a presente proposição encaminhada sob a forma de anteprojeto atende perfeitamente os ditames constitucionais e infraconstitucionais, posto que respeita a reserva legal da iniciativa do Poder Executivo, no que tange à matéria então versada.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Quanto à adequação da matéria ao ordenamento jurídico pátrio, nada vejo que possa impedir sua regular tramitação nesta Casa.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rFonts w:ascii="Verdana" w:cs="DejaVu Sans" w:hAnsi="Verdana"/>
        </w:rPr>
        <w:t xml:space="preserve">                            </w:t>
      </w:r>
      <w:r>
        <w:rPr>
          <w:rFonts w:ascii="Verdana" w:cs="DejaVu Sans" w:hAnsi="Verdana"/>
          <w:u w:val="single"/>
        </w:rPr>
        <w:t>Conclusão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Em face do exposto, este relator conclui pela juridicidade, constitucionalidade e legalidade do Anteprojeto de Lei nº 037/2014.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Sala das Reuniões, 24 de abril de 2014.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Dalton Antônio de Avelar Andrade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Relator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  <w:t>V O T O S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De acordo com o relator.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Euro de Andrade Lanza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Presidente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Marcelo Pires Rodrigues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auto"/>
      <w:sz w:val="24"/>
      <w:szCs w:val="24"/>
      <w:lang w:bidi="ar-SA" w:eastAsia="ar-SA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2014-04-24T19:42:00.00Z</dcterms:created>
  <dc:creator>Usuario</dc:creator>
  <cp:lastModifiedBy>Usuario</cp:lastModifiedBy>
  <cp:lastPrinted>2014-04-24T19:49:00.00Z</cp:lastPrinted>
  <dcterms:modified xsi:type="dcterms:W3CDTF">2014-04-24T19:49:00.00Z</dcterms:modified>
  <cp:revision>2</cp:revision>
</cp:coreProperties>
</file>