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4.emf" ContentType="image/x-emf"/>
  <Override PartName="/word/media/image1.emf" ContentType="image/x-emf"/>
  <Override PartName="/word/media/image5.emf" ContentType="image/x-emf"/>
  <Override PartName="/word/media/image2.emf" ContentType="image/x-emf"/>
  <Override PartName="/word/media/image6.emf" ContentType="image/x-emf"/>
  <Override PartName="/word/media/image3.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20" w:left="0" w:right="0"/>
        <w:jc w:val="center"/>
      </w:pPr>
      <w:r>
        <w:rPr>
          <w:drawing>
            <wp:inline distB="0" distL="0" distR="0" distT="0">
              <wp:extent cx="4819650" cy="85725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r>
        <w:rPr>
          <w:rFonts w:ascii="Verdana" w:hAnsi="Verdana"/>
        </w:rPr>
        <w:t xml:space="preserve">                                                              </w:t>
      </w:r>
    </w:p>
    <w:p>
      <w:pPr>
        <w:pStyle w:val="style0"/>
        <w:jc w:val="center"/>
      </w:pPr>
      <w:r>
        <w:rPr>
          <w:rFonts w:ascii="Verdana" w:hAnsi="Verdana"/>
          <w:b/>
          <w:bCs/>
          <w:sz w:val="28"/>
          <w:szCs w:val="28"/>
        </w:rPr>
        <w:t>PARECER REGIMENTAL (conjunto)</w:t>
      </w:r>
    </w:p>
    <w:p>
      <w:pPr>
        <w:pStyle w:val="style0"/>
        <w:jc w:val="center"/>
      </w:pPr>
      <w:r>
        <w:rPr>
          <w:rFonts w:ascii="Verdana" w:hAnsi="Verdana"/>
          <w:b/>
          <w:bCs/>
        </w:rPr>
      </w:r>
    </w:p>
    <w:p>
      <w:pPr>
        <w:pStyle w:val="style0"/>
        <w:jc w:val="center"/>
      </w:pPr>
      <w:r>
        <w:rPr>
          <w:rFonts w:ascii="Verdana" w:hAnsi="Verdana"/>
          <w:b/>
          <w:bCs/>
        </w:rPr>
        <w:t>COMISSÃO DE LEGISLAÇÃO E JUSTIÇA</w:t>
      </w:r>
    </w:p>
    <w:p>
      <w:pPr>
        <w:pStyle w:val="style0"/>
        <w:jc w:val="center"/>
      </w:pPr>
      <w:r>
        <w:rPr>
          <w:rFonts w:ascii="Verdana" w:hAnsi="Verdana"/>
          <w:b/>
          <w:bCs/>
        </w:rPr>
      </w:r>
    </w:p>
    <w:p>
      <w:pPr>
        <w:pStyle w:val="style0"/>
        <w:jc w:val="center"/>
      </w:pPr>
      <w:r>
        <w:rPr>
          <w:rFonts w:ascii="Verdana" w:hAnsi="Verdana"/>
          <w:b/>
          <w:bCs/>
        </w:rPr>
        <w:t>COMISSÃO DE FISCALIZAÇÃO FINANCEIRA, ORÇAMENTÁRIA E DE TOMADA DE CONTAS.</w:t>
      </w:r>
    </w:p>
    <w:p>
      <w:pPr>
        <w:pStyle w:val="style0"/>
        <w:jc w:val="center"/>
      </w:pPr>
      <w:r>
        <w:rPr>
          <w:rFonts w:ascii="Verdana" w:hAnsi="Verdana"/>
          <w:b/>
          <w:bCs/>
        </w:rPr>
      </w:r>
    </w:p>
    <w:p>
      <w:pPr>
        <w:pStyle w:val="style0"/>
      </w:pPr>
      <w:r>
        <w:rPr>
          <w:rFonts w:ascii="Verdana" w:cs="DejaVu Sans" w:hAnsi="Verdana"/>
          <w:b/>
          <w:bCs/>
        </w:rPr>
      </w:r>
    </w:p>
    <w:p>
      <w:pPr>
        <w:pStyle w:val="style0"/>
        <w:jc w:val="both"/>
      </w:pPr>
      <w:r>
        <w:rPr>
          <w:rFonts w:ascii="Verdana" w:cs="DejaVu Sans" w:hAnsi="Verdana"/>
          <w:b/>
          <w:bCs/>
        </w:rPr>
        <w:t xml:space="preserve">MATÉRIA: </w:t>
      </w:r>
      <w:r>
        <w:rPr>
          <w:rFonts w:ascii="Verdana" w:cs="DejaVu Sans" w:hAnsi="Verdana"/>
        </w:rPr>
        <w:t>Projeto de Lei nº 129/2013 que “Aprova a Planta de Valores Genéricos do Município de Sete Lagoas para fins de lançamento do Imposto Predial e Territorial Urbano – IPTU – para o exercício de 2014”.</w:t>
      </w:r>
    </w:p>
    <w:p>
      <w:pPr>
        <w:pStyle w:val="style0"/>
      </w:pPr>
      <w:r>
        <w:rPr/>
      </w:r>
    </w:p>
    <w:p>
      <w:pPr>
        <w:pStyle w:val="style0"/>
        <w:pBdr>
          <w:top w:val="none"/>
          <w:left w:val="none"/>
          <w:bottom w:color="000001" w:space="0" w:sz="8" w:val="single"/>
          <w:insideH w:color="000001" w:space="0" w:sz="8" w:val="single"/>
          <w:right w:val="none"/>
          <w:insideV w:val="none"/>
        </w:pBdr>
      </w:pPr>
      <w:r>
        <w:rPr>
          <w:rFonts w:ascii="Verdana" w:cs="DejaVu Sans" w:hAnsi="Verdana"/>
          <w:b/>
          <w:bCs/>
        </w:rPr>
        <w:t>AUTOR:</w:t>
      </w:r>
      <w:r>
        <w:rPr>
          <w:rFonts w:ascii="Verdana" w:cs="DejaVu Sans" w:hAnsi="Verdana"/>
        </w:rPr>
        <w:t xml:space="preserve"> Poder Executivo Municipal.</w:t>
      </w:r>
    </w:p>
    <w:p>
      <w:pPr>
        <w:pStyle w:val="style0"/>
        <w:pBdr>
          <w:top w:val="none"/>
          <w:left w:val="none"/>
          <w:bottom w:color="000001" w:space="0" w:sz="8" w:val="single"/>
          <w:insideH w:color="000001" w:space="0" w:sz="8" w:val="single"/>
          <w:right w:val="none"/>
          <w:insideV w:val="none"/>
        </w:pBdr>
      </w:pPr>
      <w:r>
        <w:rPr/>
      </w:r>
    </w:p>
    <w:p>
      <w:pPr>
        <w:pStyle w:val="style0"/>
      </w:pPr>
      <w:r>
        <w:rPr>
          <w:rFonts w:ascii="Verdana" w:cs="DejaVu Sans" w:hAnsi="Verdana"/>
        </w:rPr>
      </w:r>
    </w:p>
    <w:p>
      <w:pPr>
        <w:pStyle w:val="style0"/>
        <w:ind w:firstLine="2295" w:left="0" w:right="0"/>
        <w:jc w:val="both"/>
      </w:pPr>
      <w:r>
        <w:rPr>
          <w:rFonts w:ascii="Verdana" w:hAnsi="Verdana"/>
        </w:rPr>
      </w:r>
    </w:p>
    <w:p>
      <w:pPr>
        <w:pStyle w:val="style0"/>
        <w:ind w:firstLine="1560" w:left="0" w:right="0"/>
        <w:jc w:val="both"/>
      </w:pPr>
      <w:r>
        <w:rPr>
          <w:rFonts w:ascii="Verdana" w:hAnsi="Verdana"/>
          <w:u w:val="single"/>
        </w:rPr>
        <w:t>Relatório</w:t>
      </w:r>
      <w:r>
        <w:rPr>
          <w:rFonts w:ascii="Verdana" w:hAnsi="Verdana"/>
        </w:rPr>
        <w:t xml:space="preserve">  </w:t>
      </w:r>
    </w:p>
    <w:p>
      <w:pPr>
        <w:pStyle w:val="style0"/>
        <w:ind w:firstLine="1560" w:left="0" w:right="0"/>
        <w:jc w:val="both"/>
      </w:pPr>
      <w:r>
        <w:rPr/>
      </w:r>
    </w:p>
    <w:p>
      <w:pPr>
        <w:pStyle w:val="style0"/>
        <w:ind w:firstLine="1560" w:left="0" w:right="0"/>
        <w:jc w:val="both"/>
      </w:pPr>
      <w:r>
        <w:rPr>
          <w:rFonts w:ascii="Verdana" w:hAnsi="Verdana"/>
        </w:rPr>
        <w:t>A proposição ora apreciada, subscrita pelo Chefe do Poder Executivo Municipal, altera a planta genérica de valores dos imóveis municipais, para efeitos de cálculo do Imposto Sobre a Propriedade Predial e Territorial Urbana - IPTU, vigente para o exercício de 2014.</w:t>
      </w:r>
    </w:p>
    <w:p>
      <w:pPr>
        <w:pStyle w:val="style0"/>
        <w:ind w:firstLine="1560" w:left="0" w:right="0"/>
        <w:jc w:val="both"/>
      </w:pPr>
      <w:r>
        <w:rPr>
          <w:rFonts w:ascii="Verdana" w:hAnsi="Verdana"/>
        </w:rPr>
        <w:t>O projeto foi distribuído a estas Comissões para receber parecer conjunto quanto a sua constitucionalidade, legalidade e juridicidade, bem como a adequação ao Sistema Orçamentário Municipal nos termos do art. 83, §§ 1º e 2º e art. 108, incs. I e II do Regimento Interno da Câmara Municipal.</w:t>
      </w:r>
    </w:p>
    <w:p>
      <w:pPr>
        <w:pStyle w:val="style0"/>
        <w:tabs>
          <w:tab w:leader="none" w:pos="5580" w:val="left"/>
        </w:tabs>
        <w:jc w:val="both"/>
      </w:pPr>
      <w:r>
        <w:rPr>
          <w:rFonts w:ascii="Verdana" w:cs="DejaVu Sans" w:hAnsi="Verdana"/>
        </w:rPr>
        <w:t xml:space="preserve">         </w:t>
      </w:r>
    </w:p>
    <w:p>
      <w:pPr>
        <w:pStyle w:val="style0"/>
        <w:ind w:firstLine="1560" w:left="0" w:right="0"/>
        <w:jc w:val="both"/>
      </w:pPr>
      <w:r>
        <w:rPr/>
      </w:r>
    </w:p>
    <w:p>
      <w:pPr>
        <w:pStyle w:val="style0"/>
        <w:ind w:firstLine="1560" w:left="0" w:right="0"/>
        <w:jc w:val="both"/>
      </w:pPr>
      <w:r>
        <w:rPr>
          <w:rFonts w:ascii="Verdana" w:hAnsi="Verdana"/>
          <w:u w:val="single"/>
        </w:rPr>
        <w:t>Fundamentação</w:t>
      </w:r>
    </w:p>
    <w:p>
      <w:pPr>
        <w:pStyle w:val="style0"/>
        <w:ind w:firstLine="1560" w:left="0" w:right="0"/>
        <w:jc w:val="both"/>
      </w:pPr>
      <w:r>
        <w:rPr>
          <w:u w:val="single"/>
        </w:rPr>
      </w:r>
    </w:p>
    <w:p>
      <w:pPr>
        <w:pStyle w:val="style0"/>
        <w:jc w:val="both"/>
      </w:pPr>
      <w:r>
        <w:rPr>
          <w:rFonts w:ascii="Verdana" w:hAnsi="Verdana"/>
        </w:rPr>
        <w:t xml:space="preserve">                 </w:t>
      </w:r>
      <w:r>
        <w:rPr>
          <w:rFonts w:ascii="Verdana" w:hAnsi="Verdana"/>
        </w:rPr>
        <w:t>A planta de valores é o instrumento que padroniza e uniformiza os critérios de definição do valor venal dos imóveis, base de cálculo para a cobrança do IPTU. Como não é possível, sobretudo nos grandes centros urbanos, avaliar individualmente cada imóvel, esse instrumento utiliza-se de presunções para determinar o valor aproximado dos imóveis e zoneá-los segundo as suas semelhanças (por exemplo, características do terreno).</w:t>
      </w:r>
    </w:p>
    <w:p>
      <w:pPr>
        <w:pStyle w:val="style0"/>
        <w:jc w:val="both"/>
      </w:pPr>
      <w:r>
        <w:rPr>
          <w:rFonts w:ascii="Verdana" w:hAnsi="Verdana"/>
        </w:rPr>
        <w:t xml:space="preserve">                  </w:t>
      </w:r>
      <w:r>
        <w:rPr>
          <w:rFonts w:ascii="Verdana" w:hAnsi="Verdana"/>
        </w:rPr>
        <w:t xml:space="preserve">Dessa forma, o projeto de lei que altera a planta genérica de valores dos imóveis do Município, modifica a base de </w:t>
      </w:r>
    </w:p>
    <w:p>
      <w:pPr>
        <w:pStyle w:val="style0"/>
        <w:jc w:val="both"/>
      </w:pPr>
      <w:r>
        <w:rPr>
          <w:drawing>
            <wp:inline distB="0" distL="0" distR="0" distT="0">
              <wp:extent cx="4819650" cy="857250"/>
              <wp:effectExtent b="0" l="0" r="0" t="0"/>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3"/>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jc w:val="both"/>
      </w:pPr>
      <w:r>
        <w:rPr>
          <w:rFonts w:ascii="Verdana" w:hAnsi="Verdana"/>
        </w:rPr>
      </w:r>
    </w:p>
    <w:p>
      <w:pPr>
        <w:pStyle w:val="style0"/>
        <w:jc w:val="both"/>
      </w:pPr>
      <w:r>
        <w:rPr>
          <w:rFonts w:ascii="Verdana" w:hAnsi="Verdana"/>
        </w:rPr>
        <w:t>cálculo do IPTU. Essa mudança implicará, inevitavelmente, a majoração ou a redução do tributo. Por isso, a lei que altera a planta genérica de valores para fins de incidência do IPTU deve respeitar os princípios constitucionais e legais que limitam o poder de tributar do Estado.</w:t>
      </w:r>
    </w:p>
    <w:p>
      <w:pPr>
        <w:pStyle w:val="style0"/>
        <w:ind w:firstLine="2268" w:left="0" w:right="0"/>
        <w:jc w:val="both"/>
      </w:pPr>
      <w:r>
        <w:rPr>
          <w:rFonts w:ascii="Verdana" w:hAnsi="Verdana"/>
        </w:rPr>
        <w:t>A primeira dessas limitações é a imposição de que a planta genérica seja estabelecida e alterada por lei formal. Isso porque o artigo 150, I da Constituição Federal e o artigo 97 do Código Tributário Nacional determinam expressamente que só a lei poderá majorar ou reduzir tributos. No caso sob comento, a planta de valores em vigor é a regida atualmente pela Lei nº 7.516/2007 que estabeleceu os critérios para a definição do valor venal dos imóveis a partir de 2008. Desde essa data a Planta não sofreu modificações, sendo bem provável que as mutações no território urbano do Município tenham causado distorções no que tange à valorização dos imóveis, podendo-se imaginar alguns subvalorizados e outros supervalorizados. Tanto em um caso como em outro, se o IPTU está sendo cobrado mediante base de cálculo distorcida da realidade, há injustiça fiscal, sendo imperiosa a elaboração de uma nova planta que reflita corretamente o valor venal do imóvel, o que irá privilegiar diretamente o interesse público, na medida em que pretende resguardar o princípio da isonomia tributária. Registre-se também que a não revisão permanente da Planta poderá implicar em responsabilidade fiscal do Chefe do Executivo, caracterizando renúncia de receita, devendo tal administrador mantê-la sempre atualizada.</w:t>
      </w:r>
    </w:p>
    <w:p>
      <w:pPr>
        <w:pStyle w:val="style0"/>
        <w:ind w:firstLine="2268" w:left="0" w:right="0"/>
        <w:jc w:val="both"/>
      </w:pPr>
      <w:r>
        <w:rPr>
          <w:rFonts w:ascii="Verdana" w:hAnsi="Verdana"/>
        </w:rPr>
        <w:t xml:space="preserve">Além de sua aplicação como base para o cálculo do IPTU e ITBI, as Plantas de Valores Genéricos são instrumentos valiosos no planejamento urbano, permitindo a previsão de custos de desapropriação nas obras públicas, bem como o retorno provável de tais investimentos por meio de contribuição de melhoria, por exemplo.  </w:t>
      </w:r>
    </w:p>
    <w:p>
      <w:pPr>
        <w:pStyle w:val="style0"/>
        <w:ind w:firstLine="2268" w:left="0" w:right="0"/>
        <w:jc w:val="both"/>
      </w:pPr>
      <w:r>
        <w:rPr>
          <w:rFonts w:ascii="Verdana" w:hAnsi="Verdana"/>
        </w:rPr>
        <w:t xml:space="preserve">Insta mencionar que para a apreciação do projeto, além de várias reuniões realizadas pela Casa Legislativa com os técnicos responsáveis pela concepção da nova Planta de Valores, a Comissão de Fiscalização Financeira, Orçamentária e de Tomada de Contas realizou uma audiência pública no dia 27 de novembro deste ano, para discussão do projeto sob comento. É evidente que a matéria suscita inúmeras questões e divergências no que tange à fixação de valores, sendo impossível obter-se unanimidade. Tanto é assim que a Câmara Municipal discute o presente projeto de lei há 4 </w:t>
      </w:r>
    </w:p>
    <w:p>
      <w:pPr>
        <w:pStyle w:val="style0"/>
        <w:jc w:val="both"/>
      </w:pPr>
      <w:r>
        <w:rPr>
          <w:drawing>
            <wp:inline distB="0" distL="0" distR="0" distT="0">
              <wp:extent cx="4819650" cy="857250"/>
              <wp:effectExtent b="0" l="0" r="0" t="0"/>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4"/>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jc w:val="both"/>
      </w:pPr>
      <w:r>
        <w:rPr>
          <w:rFonts w:ascii="Verdana" w:hAnsi="Verdana"/>
        </w:rPr>
        <w:t>meses. No entanto, consideremos que a proposição está instruída com o parecer técnico da Comissão Municipal de Avaliação de Imóveis, responsável pela elaboração da Planta proposta, nomeada pelo Decreto nº 3324/2006 e Decreto nº 4628/2013, que utilizou como metodologia os parâmetros e as diretrizes para avaliação dos imóveis urbanos fixados pela NBR 5676 da ABNT. Tal Comissão é formada, dentre outros, por Oberdam José Garcia de Castro – Superintendente de Rendas Imobiliárias; Sastre Soares Moreira – engenheiro CREA 12318/D-MG; Marco Antônio Abreu – CRECI 8964; Germano dos Santos de Oliveira – CRECI nº 7722 e Hernane Hermógenes Pena – CRECI nº 10065.</w:t>
      </w:r>
    </w:p>
    <w:p>
      <w:pPr>
        <w:pStyle w:val="style0"/>
        <w:ind w:firstLine="2268" w:left="0" w:right="0"/>
        <w:jc w:val="both"/>
      </w:pPr>
      <w:r>
        <w:rPr>
          <w:rFonts w:ascii="Verdana" w:hAnsi="Verdana"/>
        </w:rPr>
        <w:t>Ainda que se discuta a legitimidade da composição da Comissão Municipal de Avaliação de Imóveis tendo em vista o disposto no art. 39 da Lei Complementar nº 74/2002, tem-se que a avaliação de imóveis apresenta-se como um ato administrativo do Poder Público. De acordo com a doutrina administrativista, os atos administrativos emanados da Administração Pública possuem como atributo presunção de legitimidade ou seja, até prova em contrário os mesmos foram emitidos com observância da lei. Além de presumir-se a conformidade do ato administrativo, ele também possui como atributo a presunção da veracidade, isto é, seus pressupostos fáticos são admitidos como verdadeiros até prova em contrário. Em razão dos pressupostos de legitimidade e veracidade, a proposta de atualização da Planta Genérica de Valores – PGV realizada por agentes públicos qualificados, devidamente nomeados por decretos municipais para tal fim, goza de fé pública, ou seja, presumem-se certos e verdadeiros o seu conteúdo.</w:t>
      </w:r>
    </w:p>
    <w:p>
      <w:pPr>
        <w:pStyle w:val="style0"/>
        <w:ind w:firstLine="2268" w:left="0" w:right="0"/>
        <w:jc w:val="both"/>
      </w:pPr>
      <w:r>
        <w:rPr>
          <w:rFonts w:ascii="Verdana" w:hAnsi="Verdana"/>
        </w:rPr>
        <w:t>Portanto, a modificação do valor venal dos imóveis que não importa em simples atualização monetária, depende de lei, consoante doutrina e reiterada jurisprudência do STF.</w:t>
      </w:r>
    </w:p>
    <w:p>
      <w:pPr>
        <w:pStyle w:val="style0"/>
        <w:jc w:val="both"/>
      </w:pPr>
      <w:r>
        <w:rPr>
          <w:rFonts w:ascii="Verdana" w:hAnsi="Verdana"/>
        </w:rPr>
        <w:t xml:space="preserve">                         </w:t>
      </w:r>
      <w:r>
        <w:rPr>
          <w:rFonts w:ascii="Verdana" w:hAnsi="Verdana"/>
        </w:rPr>
        <w:t xml:space="preserve">No que se refere à imposição do aumento do valor do tributo ao contribuinte, este deve respeitar o princípio constitucional da anterioridade tributária, consagrado nas alíneas “b” e “c” do inciso III do art. 150 da Constituição de 1988. Esse princípio envolve dois corolários: o primeiro deles refere-se ao fato de ser vedado ao Poder Público cobrar tributo no mesmo exercício financeiro em que foi publicada a lei que o instituiu ou aumentou, sendo que o segundo veda a cobrança do tributo antes de decorridos noventa dias da publicação da lei que o instituiu ou aumentou. </w:t>
      </w:r>
    </w:p>
    <w:p>
      <w:pPr>
        <w:pStyle w:val="style0"/>
        <w:jc w:val="both"/>
      </w:pPr>
      <w:r>
        <w:rPr>
          <w:rFonts w:ascii="Verdana" w:hAnsi="Verdana"/>
        </w:rPr>
        <w:t xml:space="preserve"> </w:t>
      </w:r>
    </w:p>
    <w:p>
      <w:pPr>
        <w:pStyle w:val="style0"/>
        <w:jc w:val="both"/>
      </w:pPr>
      <w:r>
        <w:rPr>
          <w:rFonts w:ascii="Verdana" w:hAnsi="Verdana"/>
        </w:rPr>
      </w:r>
    </w:p>
    <w:p>
      <w:pPr>
        <w:pStyle w:val="style0"/>
        <w:jc w:val="both"/>
      </w:pPr>
      <w:r>
        <w:rPr>
          <w:rFonts w:ascii="Verdana" w:hAnsi="Verdana"/>
        </w:rPr>
        <w:t xml:space="preserve">                      </w:t>
      </w:r>
    </w:p>
    <w:p>
      <w:pPr>
        <w:pStyle w:val="style0"/>
        <w:ind w:firstLine="1843" w:left="0" w:right="0"/>
        <w:jc w:val="both"/>
      </w:pPr>
      <w:r>
        <w:rPr/>
      </w:r>
    </w:p>
    <w:p>
      <w:pPr>
        <w:pStyle w:val="style0"/>
        <w:ind w:firstLine="1843" w:left="0" w:right="0"/>
        <w:jc w:val="both"/>
      </w:pPr>
      <w:r>
        <w:rPr>
          <w:rFonts w:ascii="Verdana" w:cs="DejaVu Sans" w:hAnsi="Verdana"/>
        </w:rPr>
        <w:t xml:space="preserve">   </w:t>
      </w:r>
      <w:r>
        <w:rPr>
          <w:rFonts w:ascii="Verdana" w:cs="DejaVu Sans" w:hAnsi="Verdana"/>
          <w:drawing>
            <wp:inline distB="0" distL="0" distR="0" distT="0">
              <wp:extent cx="4819650" cy="857250"/>
              <wp:effectExtent b="0" l="0" r="0" t="0"/>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5"/>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ind w:firstLine="1800" w:left="0" w:right="0"/>
        <w:jc w:val="both"/>
      </w:pPr>
      <w:r>
        <w:rPr>
          <w:u w:val="single"/>
        </w:rPr>
      </w:r>
    </w:p>
    <w:p>
      <w:pPr>
        <w:pStyle w:val="style0"/>
        <w:ind w:firstLine="1800" w:left="0" w:right="0"/>
        <w:jc w:val="both"/>
      </w:pPr>
      <w:r>
        <w:rPr>
          <w:rFonts w:ascii="Verdana" w:hAnsi="Verdana"/>
          <w:u w:val="single"/>
        </w:rPr>
        <w:t xml:space="preserve">   </w:t>
      </w:r>
      <w:r>
        <w:rPr>
          <w:rFonts w:ascii="Verdana" w:hAnsi="Verdana"/>
          <w:u w:val="single"/>
        </w:rPr>
        <w:t>Conclusão</w:t>
      </w:r>
    </w:p>
    <w:p>
      <w:pPr>
        <w:pStyle w:val="style0"/>
        <w:ind w:firstLine="1800" w:left="0" w:right="0"/>
        <w:jc w:val="both"/>
      </w:pPr>
      <w:r>
        <w:rPr>
          <w:u w:val="single"/>
        </w:rPr>
        <w:t xml:space="preserve">    </w:t>
      </w:r>
    </w:p>
    <w:p>
      <w:pPr>
        <w:pStyle w:val="style0"/>
        <w:ind w:firstLine="1843" w:left="0" w:right="0"/>
        <w:jc w:val="both"/>
      </w:pPr>
      <w:r>
        <w:rPr>
          <w:rFonts w:ascii="Verdana" w:cs="DejaVu Sans" w:hAnsi="Verdana"/>
        </w:rPr>
        <w:t xml:space="preserve">   </w:t>
      </w:r>
      <w:r>
        <w:rPr>
          <w:rFonts w:ascii="Verdana" w:cs="DejaVu Sans" w:hAnsi="Verdana"/>
        </w:rPr>
        <w:t xml:space="preserve">Em face do exposto, e considerando os documentos </w:t>
      </w:r>
    </w:p>
    <w:p>
      <w:pPr>
        <w:pStyle w:val="style0"/>
        <w:jc w:val="both"/>
      </w:pPr>
      <w:r>
        <w:rPr>
          <w:rFonts w:ascii="Verdana" w:cs="DejaVu Sans" w:hAnsi="Verdana"/>
        </w:rPr>
        <w:t>que instruem o presente processo, além das inúmeras reuniões realizadas para discussão do projeto, estes relatores concluem pela constitucionalidade,  juridicidade   e legalidade</w:t>
      </w:r>
      <w:r>
        <w:rPr>
          <w:rFonts w:ascii="Verdana" w:hAnsi="Verdana"/>
        </w:rPr>
        <w:t xml:space="preserve"> do Projeto de Lei nº </w:t>
      </w:r>
    </w:p>
    <w:p>
      <w:pPr>
        <w:pStyle w:val="style0"/>
        <w:jc w:val="both"/>
      </w:pPr>
      <w:r>
        <w:rPr>
          <w:rFonts w:ascii="Verdana" w:hAnsi="Verdana"/>
        </w:rPr>
        <w:t>129/2013, bem como pela sua adequação financeira e orçamentária.</w:t>
      </w:r>
    </w:p>
    <w:p>
      <w:pPr>
        <w:pStyle w:val="style0"/>
        <w:ind w:firstLine="2295" w:left="0" w:right="0"/>
        <w:jc w:val="both"/>
      </w:pPr>
      <w:r>
        <w:rPr>
          <w:rFonts w:ascii="Verdana" w:cs="DejaVu Sans" w:hAnsi="Verdana"/>
        </w:rPr>
      </w:r>
    </w:p>
    <w:p>
      <w:pPr>
        <w:pStyle w:val="style0"/>
        <w:ind w:firstLine="2295" w:left="0" w:right="0"/>
        <w:jc w:val="both"/>
      </w:pPr>
      <w:r>
        <w:rPr/>
        <w:t xml:space="preserve">                                </w:t>
      </w:r>
    </w:p>
    <w:p>
      <w:pPr>
        <w:pStyle w:val="style0"/>
        <w:ind w:firstLine="2295" w:left="0" w:right="0"/>
        <w:jc w:val="both"/>
      </w:pPr>
      <w:r>
        <w:rPr>
          <w:rFonts w:ascii="Verdana" w:cs="DejaVu Sans" w:hAnsi="Verdana"/>
          <w:sz w:val="22"/>
          <w:szCs w:val="22"/>
        </w:rPr>
        <w:t>Sala das Reuniões, 26 de dezembro de 2013.</w:t>
      </w:r>
    </w:p>
    <w:p>
      <w:pPr>
        <w:pStyle w:val="style0"/>
        <w:ind w:firstLine="2295" w:left="0" w:right="0"/>
      </w:pPr>
      <w:r>
        <w:rPr>
          <w:rFonts w:ascii="Verdana" w:cs="DejaVu Sans" w:hAnsi="Verdana"/>
          <w:b/>
          <w:bCs/>
          <w:sz w:val="22"/>
          <w:szCs w:val="22"/>
        </w:rPr>
      </w:r>
    </w:p>
    <w:p>
      <w:pPr>
        <w:pStyle w:val="style0"/>
        <w:ind w:firstLine="2295" w:left="0" w:right="0"/>
      </w:pPr>
      <w:r>
        <w:rPr>
          <w:rFonts w:ascii="Verdana" w:cs="DejaVu Sans" w:hAnsi="Verdana"/>
          <w:b/>
          <w:bCs/>
          <w:sz w:val="22"/>
          <w:szCs w:val="22"/>
        </w:rPr>
      </w:r>
    </w:p>
    <w:p>
      <w:pPr>
        <w:pStyle w:val="style0"/>
        <w:ind w:firstLine="1843" w:left="0" w:right="0"/>
      </w:pPr>
      <w:r>
        <w:rPr>
          <w:rFonts w:ascii="Verdana" w:cs="DejaVu Sans" w:hAnsi="Verdana"/>
        </w:rPr>
        <w:t xml:space="preserve">     </w:t>
      </w:r>
      <w:r>
        <w:rPr>
          <w:rFonts w:ascii="Verdana" w:cs="DejaVu Sans" w:hAnsi="Verdana"/>
        </w:rPr>
        <w:t>Marcelo Pires Rodrigues</w:t>
      </w:r>
    </w:p>
    <w:p>
      <w:pPr>
        <w:pStyle w:val="style0"/>
        <w:ind w:firstLine="1843" w:left="0" w:right="0"/>
      </w:pPr>
      <w:r>
        <w:rPr>
          <w:rFonts w:ascii="Verdana" w:cs="DejaVu Sans" w:hAnsi="Verdana"/>
        </w:rPr>
        <w:t xml:space="preserve">     </w:t>
      </w:r>
      <w:r>
        <w:rPr>
          <w:rFonts w:ascii="Verdana" w:cs="DejaVu Sans" w:hAnsi="Verdana"/>
        </w:rPr>
        <w:t>Relator-CLJ</w:t>
      </w:r>
    </w:p>
    <w:p>
      <w:pPr>
        <w:pStyle w:val="style0"/>
        <w:ind w:firstLine="1843" w:left="0" w:right="0"/>
      </w:pPr>
      <w:r>
        <w:rPr>
          <w:rFonts w:ascii="Verdana" w:cs="DejaVu Sans" w:hAnsi="Verdana"/>
        </w:rPr>
      </w:r>
    </w:p>
    <w:p>
      <w:pPr>
        <w:pStyle w:val="style0"/>
        <w:ind w:firstLine="1843" w:left="0" w:right="0"/>
      </w:pPr>
      <w:r>
        <w:rPr>
          <w:rFonts w:ascii="Verdana" w:cs="DejaVu Sans" w:hAnsi="Verdana"/>
        </w:rPr>
      </w:r>
    </w:p>
    <w:p>
      <w:pPr>
        <w:pStyle w:val="style0"/>
        <w:ind w:firstLine="1843" w:left="0" w:right="0"/>
      </w:pPr>
      <w:r>
        <w:rPr>
          <w:rFonts w:ascii="Verdana" w:cs="DejaVu Sans" w:hAnsi="Verdana"/>
        </w:rPr>
        <w:t xml:space="preserve">     </w:t>
      </w:r>
      <w:r>
        <w:rPr>
          <w:rFonts w:ascii="Verdana" w:cs="DejaVu Sans" w:hAnsi="Verdana"/>
        </w:rPr>
        <w:t>Fabrício Augusto Carvalho do Nascimento</w:t>
      </w:r>
    </w:p>
    <w:p>
      <w:pPr>
        <w:pStyle w:val="style0"/>
        <w:ind w:firstLine="2295" w:left="0" w:right="0"/>
      </w:pPr>
      <w:r>
        <w:rPr>
          <w:rFonts w:ascii="Verdana" w:cs="DejaVu Sans" w:hAnsi="Verdana"/>
        </w:rPr>
        <w:t>Relator-CFFOTC</w:t>
      </w:r>
    </w:p>
    <w:p>
      <w:pPr>
        <w:pStyle w:val="style0"/>
        <w:ind w:firstLine="46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u w:val="single"/>
        </w:rPr>
        <w:t>V  O T O S</w:t>
      </w:r>
    </w:p>
    <w:p>
      <w:pPr>
        <w:pStyle w:val="style0"/>
        <w:ind w:firstLine="2295" w:left="0" w:right="0"/>
      </w:pPr>
      <w:r>
        <w:rPr>
          <w:rFonts w:ascii="Verdana" w:cs="DejaVu Sans" w:hAnsi="Verdana"/>
          <w:u w:val="single"/>
        </w:rPr>
      </w:r>
    </w:p>
    <w:p>
      <w:pPr>
        <w:pStyle w:val="style0"/>
        <w:ind w:firstLine="2295" w:left="0" w:right="0"/>
      </w:pPr>
      <w:r>
        <w:rPr>
          <w:rFonts w:ascii="Verdana" w:cs="DejaVu Sans" w:hAnsi="Verdana"/>
        </w:rPr>
        <w:t>De acordo com os relatores.</w:t>
      </w:r>
    </w:p>
    <w:p>
      <w:pPr>
        <w:pStyle w:val="style0"/>
        <w:ind w:firstLine="2295" w:left="0" w:right="0"/>
      </w:pPr>
      <w:r>
        <w:rPr>
          <w:rFonts w:ascii="Verdana" w:cs="DejaVu Sans" w:hAnsi="Verdana"/>
        </w:rPr>
      </w:r>
    </w:p>
    <w:p>
      <w:pPr>
        <w:pStyle w:val="style0"/>
        <w:ind w:firstLine="2295" w:left="0" w:right="0"/>
      </w:pPr>
      <w:r>
        <w:rPr>
          <w:rFonts w:ascii="Verdana" w:cs="DejaVu Sans" w:hAnsi="Verdana"/>
          <w:b/>
        </w:rPr>
      </w:r>
    </w:p>
    <w:p>
      <w:pPr>
        <w:pStyle w:val="style0"/>
        <w:ind w:firstLine="2295" w:left="0" w:right="0"/>
      </w:pPr>
      <w:r>
        <w:rPr>
          <w:rFonts w:ascii="Verdana" w:cs="DejaVu Sans" w:hAnsi="Verdana"/>
          <w:b/>
        </w:rPr>
        <w:t>COMISSÃO DE LEGISLAÇÃO E JUSTIÇA</w:t>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t>Euro de Andrade Lanza</w:t>
      </w:r>
    </w:p>
    <w:p>
      <w:pPr>
        <w:pStyle w:val="style0"/>
        <w:ind w:firstLine="2295" w:left="0" w:right="0"/>
      </w:pPr>
      <w:r>
        <w:rPr>
          <w:rFonts w:ascii="Verdana" w:cs="DejaVu Sans" w:hAnsi="Verdana"/>
        </w:rPr>
        <w:t>Presidente</w:t>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firstLine="2295" w:left="0" w:right="0"/>
      </w:pPr>
      <w:r>
        <w:rPr>
          <w:rFonts w:ascii="Verdana" w:cs="DejaVu Sans" w:hAnsi="Verdana"/>
        </w:rPr>
      </w:r>
    </w:p>
    <w:p>
      <w:pPr>
        <w:pStyle w:val="style0"/>
        <w:ind w:hanging="2268" w:left="2268" w:right="0"/>
      </w:pPr>
      <w:r>
        <w:rPr>
          <w:rFonts w:ascii="Verdana" w:hAnsi="Verdana"/>
          <w:b/>
        </w:rPr>
        <w:t>COMISSÃO DE FISCALIZAÇÃO FINANCEIRA E ORÇAMENTÁRIA E DE TOMADA DE CONTAS</w:t>
      </w:r>
    </w:p>
    <w:p>
      <w:pPr>
        <w:pStyle w:val="style0"/>
        <w:ind w:firstLine="2220" w:left="0" w:right="0"/>
      </w:pPr>
      <w:r>
        <w:rPr>
          <w:rFonts w:ascii="Verdana" w:hAnsi="Verdana"/>
        </w:rPr>
      </w:r>
    </w:p>
    <w:p>
      <w:pPr>
        <w:pStyle w:val="style0"/>
        <w:ind w:firstLine="2220" w:left="0" w:right="0"/>
      </w:pPr>
      <w:r>
        <w:rPr>
          <w:rFonts w:ascii="Verdana" w:hAnsi="Verdana"/>
        </w:rPr>
      </w:r>
    </w:p>
    <w:p>
      <w:pPr>
        <w:pStyle w:val="style0"/>
        <w:ind w:firstLine="2220" w:left="0" w:right="0"/>
      </w:pPr>
      <w:r>
        <w:rPr>
          <w:rFonts w:ascii="Verdana" w:hAnsi="Verdana"/>
        </w:rPr>
        <w:t>Renato Gomes</w:t>
      </w:r>
    </w:p>
    <w:p>
      <w:pPr>
        <w:pStyle w:val="style0"/>
        <w:ind w:firstLine="2220" w:left="0" w:right="0"/>
      </w:pPr>
      <w:r>
        <w:rPr>
          <w:rFonts w:ascii="Verdana" w:hAnsi="Verdana"/>
        </w:rPr>
        <w:t>Presidente</w:t>
      </w:r>
    </w:p>
    <w:p>
      <w:pPr>
        <w:pStyle w:val="style0"/>
      </w:pPr>
      <w:r>
        <w:rPr>
          <w:drawing>
            <wp:inline distB="0" distL="0" distR="0" distT="0">
              <wp:extent cx="4819650" cy="857250"/>
              <wp:effectExtent b="0" l="0" r="0" t="0"/>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6"/>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ind w:firstLine="2220" w:left="0" w:right="0"/>
      </w:pPr>
      <w:r>
        <w:rPr>
          <w:rFonts w:ascii="Verdana" w:hAnsi="Verdana"/>
        </w:rPr>
      </w:r>
    </w:p>
    <w:p>
      <w:pPr>
        <w:pStyle w:val="style0"/>
      </w:pPr>
      <w:r>
        <w:rPr/>
      </w:r>
    </w:p>
    <w:p>
      <w:pPr>
        <w:pStyle w:val="style0"/>
      </w:pPr>
      <w:r>
        <w:rPr/>
      </w:r>
    </w:p>
    <w:p>
      <w:pPr>
        <w:pStyle w:val="style0"/>
      </w:pPr>
      <w:r>
        <w:rPr>
          <w:rFonts w:ascii="Verdana" w:hAnsi="Verdana"/>
          <w:b/>
        </w:rPr>
        <w:t xml:space="preserve">                                </w:t>
      </w:r>
      <w:r>
        <w:rPr>
          <w:rFonts w:ascii="Verdana" w:hAnsi="Verdana"/>
          <w:b/>
          <w:u w:val="single"/>
        </w:rPr>
        <w:t>VOTOS  CONTRÁRIOS</w:t>
      </w:r>
    </w:p>
    <w:p>
      <w:pPr>
        <w:pStyle w:val="style0"/>
      </w:pPr>
      <w:r>
        <w:rPr>
          <w:rFonts w:ascii="Verdana" w:hAnsi="Verdana"/>
        </w:rPr>
        <w:t xml:space="preserve">                                     </w:t>
      </w:r>
    </w:p>
    <w:p>
      <w:pPr>
        <w:pStyle w:val="style0"/>
      </w:pPr>
      <w:r>
        <w:rPr>
          <w:rFonts w:ascii="Verdana" w:hAnsi="Verdana"/>
        </w:rPr>
      </w:r>
    </w:p>
    <w:p>
      <w:pPr>
        <w:pStyle w:val="style0"/>
      </w:pPr>
      <w:r>
        <w:rPr>
          <w:rFonts w:ascii="Verdana" w:hAnsi="Verdana"/>
        </w:rPr>
      </w:r>
    </w:p>
    <w:p>
      <w:pPr>
        <w:pStyle w:val="style0"/>
      </w:pPr>
      <w:r>
        <w:rPr>
          <w:rFonts w:ascii="Verdana" w:hAnsi="Verdana"/>
        </w:rPr>
      </w:r>
    </w:p>
    <w:p>
      <w:pPr>
        <w:pStyle w:val="style0"/>
        <w:jc w:val="both"/>
      </w:pPr>
      <w:r>
        <w:rPr>
          <w:rFonts w:ascii="Verdana" w:hAnsi="Verdana"/>
        </w:rPr>
        <w:t xml:space="preserve">                            </w:t>
      </w:r>
      <w:r>
        <w:rPr>
          <w:rFonts w:ascii="Verdana" w:hAnsi="Verdana"/>
        </w:rPr>
        <w:t>Os Vereadores abaixo assinados, no uso das prerrogativas que lhes são conferidas pelo inciso III do art. 111 do Regimento Interno da Câmara Municipal de Sete Lagoas, votam contrariamente às conclusões dos relatores, tendo em vista os seguintes fundamentos:</w:t>
      </w:r>
    </w:p>
    <w:p>
      <w:pPr>
        <w:pStyle w:val="style0"/>
        <w:jc w:val="both"/>
      </w:pPr>
      <w:r>
        <w:rPr>
          <w:rFonts w:ascii="Verdana" w:hAnsi="Verdana"/>
        </w:rPr>
      </w:r>
    </w:p>
    <w:p>
      <w:pPr>
        <w:pStyle w:val="style21"/>
        <w:ind w:hanging="0" w:left="0" w:right="0"/>
        <w:jc w:val="both"/>
      </w:pPr>
      <w:r>
        <w:rPr>
          <w:rFonts w:ascii="Verdana" w:hAnsi="Verdana"/>
        </w:rPr>
        <w:t xml:space="preserve">                              </w:t>
      </w:r>
      <w:r>
        <w:rPr>
          <w:rFonts w:ascii="Verdana" w:hAnsi="Verdana"/>
        </w:rPr>
        <w:t xml:space="preserve">1-O Projeto de Lei nº 129/2013 ora em discussão não está instruído com documentos ou estudos que permitam avaliar com clareza a metodologia e a veracidade das conclusões da Comissão Municipal de Avaliação de Imóveis. </w:t>
      </w:r>
    </w:p>
    <w:p>
      <w:pPr>
        <w:pStyle w:val="style0"/>
        <w:jc w:val="both"/>
      </w:pPr>
      <w:r>
        <w:rPr>
          <w:rFonts w:ascii="Verdana" w:hAnsi="Verdana"/>
        </w:rPr>
        <w:t xml:space="preserve">                               </w:t>
      </w:r>
      <w:r>
        <w:rPr>
          <w:rFonts w:ascii="Verdana" w:hAnsi="Verdana"/>
        </w:rPr>
        <w:t>Muito embora tenham sido realizadas várias reuniões e mesmo audiência pública para exposição e esclarecimentos adicionais da Comissão, a mesma mostrou-se tímida e sem uma metodologia eficiente ou mesmo apta para responder todos os questionamentos realizados. Portanto, não há base científica que dê respaldo à Câmara para aprovar com segurança um projeto que tem reflexos diretos sobre os munícipes. O projeto sem as devidas e necessárias informações e documentos que o instruem, poderá gerar a cobrança de tributos com base de cálculo distorcida da realidade, acarretando injustiça fiscal e social, o que não atende ao interesse público.</w:t>
      </w:r>
    </w:p>
    <w:p>
      <w:pPr>
        <w:pStyle w:val="style0"/>
        <w:jc w:val="both"/>
      </w:pPr>
      <w:r>
        <w:rPr>
          <w:rFonts w:ascii="Verdana" w:hAnsi="Verdana"/>
        </w:rPr>
      </w:r>
    </w:p>
    <w:p>
      <w:pPr>
        <w:pStyle w:val="style0"/>
        <w:jc w:val="both"/>
      </w:pPr>
      <w:r>
        <w:rPr>
          <w:rFonts w:ascii="Verdana" w:hAnsi="Verdana"/>
        </w:rPr>
        <w:t xml:space="preserve">                              </w:t>
      </w:r>
      <w:r>
        <w:rPr>
          <w:rFonts w:ascii="Verdana" w:hAnsi="Verdana"/>
        </w:rPr>
        <w:t xml:space="preserve">2-A Comissão Municipal de Valores, incumbida de estabelecer a Planta de Valores que servirá de base de cálculo para cobrança tributária, nos termos do art. 39 do Código Tributário Municipal, deverá ter a seguinte composição: 07 membros sendo o primeiro deles o Superintendente do SRI ou cargo equivalente, 03 membros indicados pelo Prefeito entre servidores municipais versados em legislação tributária municipal; 01 representante do CRECI; 01 representante do CREA; um representante de Associação Comunitária legalmente constituída. No entanto, a Comissão responsável pela Planta de Valores ora proposta tem em sua composição 05 membros, dentre eles o Superintendente do SRI, três representantes do CRECI, um representante do CREA , estando em total desacordo com o disposto no Código Tributário Municipal. </w:t>
      </w:r>
    </w:p>
    <w:p>
      <w:pPr>
        <w:pStyle w:val="style0"/>
        <w:jc w:val="both"/>
      </w:pPr>
      <w:r>
        <w:rPr>
          <w:drawing>
            <wp:inline distB="0" distL="0" distR="0" distT="0">
              <wp:extent cx="4819650" cy="857250"/>
              <wp:effectExtent b="0" l="0" r="0" t="0"/>
              <wp:docPr desc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pic:cNvPicPr>
                        <a:picLocks noChangeArrowheads="1" noChangeAspect="1"/>
                      </pic:cNvPicPr>
                    </pic:nvPicPr>
                    <pic:blipFill>
                      <a:blip r:embed="rId7"/>
                      <a:srcRect/>
                      <a:stretch>
                        <a:fillRect/>
                      </a:stretch>
                    </pic:blipFill>
                    <pic:spPr bwMode="auto">
                      <a:xfrm>
                        <a:off x="0" y="0"/>
                        <a:ext cx="4819650" cy="857250"/>
                      </a:xfrm>
                      <a:prstGeom prst="rect">
                        <a:avLst/>
                      </a:prstGeom>
                      <a:noFill/>
                      <a:ln w="9525">
                        <a:noFill/>
                        <a:miter lim="800000"/>
                        <a:headEnd/>
                        <a:tailEnd/>
                      </a:ln>
                    </pic:spPr>
                  </pic:pic>
                </a:graphicData>
              </a:graphic>
            </wp:inline>
          </w:drawing>
        </w:rPr>
      </w:r>
    </w:p>
    <w:p>
      <w:pPr>
        <w:pStyle w:val="style0"/>
        <w:jc w:val="both"/>
      </w:pPr>
      <w:r>
        <w:rPr>
          <w:rFonts w:ascii="Verdana" w:hAnsi="Verdana"/>
        </w:rPr>
      </w:r>
    </w:p>
    <w:p>
      <w:pPr>
        <w:pStyle w:val="style0"/>
        <w:jc w:val="both"/>
      </w:pPr>
      <w:r>
        <w:rPr>
          <w:rFonts w:ascii="Verdana" w:hAnsi="Verdana"/>
        </w:rPr>
        <w:t xml:space="preserve">                        </w:t>
      </w:r>
      <w:r>
        <w:rPr>
          <w:rFonts w:ascii="Verdana" w:hAnsi="Verdana"/>
        </w:rPr>
        <w:t>Portanto, tal comissão não tem legitimidade para a realização dos estudos e apresentação de uma nova Planta de Valores do Município, estando o projeto eivado de vício legal, o que o contamina desde a origem.</w:t>
      </w:r>
    </w:p>
    <w:p>
      <w:pPr>
        <w:pStyle w:val="style0"/>
        <w:jc w:val="both"/>
      </w:pPr>
      <w:r>
        <w:rPr>
          <w:rFonts w:ascii="Verdana" w:hAnsi="Verdana"/>
        </w:rPr>
      </w:r>
    </w:p>
    <w:p>
      <w:pPr>
        <w:pStyle w:val="style0"/>
        <w:jc w:val="both"/>
      </w:pPr>
      <w:r>
        <w:rPr>
          <w:rFonts w:ascii="Verdana" w:hAnsi="Verdana"/>
        </w:rPr>
        <w:t xml:space="preserve">                          </w:t>
      </w:r>
      <w:r>
        <w:rPr>
          <w:rFonts w:ascii="Verdana" w:hAnsi="Verdana"/>
        </w:rPr>
        <w:t>Sala das Reuniões, 26 de dezembro de 2013.</w:t>
      </w:r>
    </w:p>
    <w:p>
      <w:pPr>
        <w:pStyle w:val="style0"/>
      </w:pPr>
      <w:r>
        <w:rPr>
          <w:rFonts w:ascii="Verdana" w:hAnsi="Verdana"/>
        </w:rPr>
      </w:r>
    </w:p>
    <w:p>
      <w:pPr>
        <w:pStyle w:val="style0"/>
        <w:ind w:firstLine="2268" w:left="0" w:right="0"/>
      </w:pPr>
      <w:r>
        <w:rPr>
          <w:rFonts w:ascii="Verdana" w:hAnsi="Verdana"/>
        </w:rPr>
      </w:r>
    </w:p>
    <w:p>
      <w:pPr>
        <w:pStyle w:val="style0"/>
        <w:ind w:firstLine="2268" w:left="0" w:right="0"/>
      </w:pPr>
      <w:r>
        <w:rPr>
          <w:rFonts w:ascii="Verdana" w:hAnsi="Verdana"/>
        </w:rPr>
      </w:r>
    </w:p>
    <w:p>
      <w:pPr>
        <w:pStyle w:val="style0"/>
        <w:ind w:firstLine="2268" w:left="0" w:right="0"/>
      </w:pPr>
      <w:r>
        <w:rPr>
          <w:rFonts w:ascii="Verdana" w:hAnsi="Verdana"/>
        </w:rPr>
        <w:t>Dalton Antônio de Avelar Andrade</w:t>
      </w:r>
    </w:p>
    <w:p>
      <w:pPr>
        <w:pStyle w:val="style0"/>
        <w:ind w:firstLine="2268" w:left="0" w:right="0"/>
      </w:pPr>
      <w:r>
        <w:rPr>
          <w:rFonts w:ascii="Verdana" w:hAnsi="Verdana"/>
        </w:rPr>
        <w:t>Vereador-CLJ</w:t>
      </w:r>
    </w:p>
    <w:p>
      <w:pPr>
        <w:pStyle w:val="style0"/>
        <w:ind w:firstLine="2268" w:left="0" w:right="0"/>
      </w:pPr>
      <w:r>
        <w:rPr>
          <w:rFonts w:ascii="Verdana" w:hAnsi="Verdana"/>
        </w:rPr>
      </w:r>
    </w:p>
    <w:p>
      <w:pPr>
        <w:pStyle w:val="style0"/>
        <w:ind w:firstLine="2268" w:left="0" w:right="0"/>
      </w:pPr>
      <w:r>
        <w:rPr>
          <w:rFonts w:ascii="Verdana" w:hAnsi="Verdana"/>
        </w:rPr>
      </w:r>
    </w:p>
    <w:p>
      <w:pPr>
        <w:pStyle w:val="style0"/>
        <w:ind w:firstLine="2268" w:left="0" w:right="0"/>
      </w:pPr>
      <w:r>
        <w:rPr>
          <w:rFonts w:ascii="Verdana" w:hAnsi="Verdana"/>
        </w:rPr>
      </w:r>
    </w:p>
    <w:p>
      <w:pPr>
        <w:pStyle w:val="style0"/>
        <w:ind w:firstLine="2268" w:left="0" w:right="0"/>
      </w:pPr>
      <w:r>
        <w:rPr>
          <w:rFonts w:ascii="Verdana" w:hAnsi="Verdana"/>
        </w:rPr>
        <w:t>Joaquim Gonzaga Barbosa</w:t>
      </w:r>
    </w:p>
    <w:p>
      <w:pPr>
        <w:pStyle w:val="style0"/>
        <w:ind w:firstLine="2268" w:left="0" w:right="0"/>
      </w:pPr>
      <w:r>
        <w:rPr>
          <w:rFonts w:ascii="Verdana" w:hAnsi="Verdana"/>
        </w:rPr>
        <w:t>Vereador-CFFOTC</w:t>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erif">
    <w:altName w:val="Times New Roman"/>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val="false"/>
      <w:suppressAutoHyphens w:val="true"/>
      <w:spacing w:after="0" w:before="0" w:line="100" w:lineRule="atLeast"/>
      <w:contextualSpacing w:val="false"/>
    </w:pPr>
    <w:rPr>
      <w:rFonts w:ascii="Liberation Serif" w:cs="Times New Roman" w:eastAsia="DejaVu Sans" w:hAnsi="Liberation Serif"/>
      <w:color w:val="auto"/>
      <w:sz w:val="24"/>
      <w:szCs w:val="24"/>
      <w:lang w:bidi="ar-SA" w:eastAsia="pt-BR"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 w:styleId="style21" w:type="paragraph">
    <w:name w:val="List Paragraph"/>
    <w:basedOn w:val="style0"/>
    <w:next w:val="style21"/>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2013-12-17T20:05:00.00Z</dcterms:created>
  <dc:creator>Usuario</dc:creator>
  <cp:lastModifiedBy>Proprietario</cp:lastModifiedBy>
  <cp:lastPrinted>2013-12-27T00:31:00.00Z</cp:lastPrinted>
  <dcterms:modified xsi:type="dcterms:W3CDTF">2013-12-27T00:33:00.00Z</dcterms:modified>
  <cp:revision>12</cp:revision>
</cp:coreProperties>
</file>