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emf" ContentType="image/x-emf"/>
  <Override PartName="/word/media/image2.emf" ContentType="image/x-emf"/>
  <Override PartName="/word/media/image3.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drawing>
            <wp:inline distB="0" distL="0" distR="0" distT="0">
              <wp:extent cx="4819650" cy="857250"/>
              <wp:effectExtent b="0" l="0" r="0" t="0"/>
              <wp:docPr descr="" id="0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19650" cy="857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style0"/>
        <w:jc w:val="center"/>
      </w:pPr>
      <w:r>
        <w:rPr>
          <w:rFonts w:ascii="Verdana" w:hAnsi="Verdana"/>
          <w:b/>
          <w:bCs/>
          <w:sz w:val="28"/>
          <w:szCs w:val="28"/>
        </w:rPr>
      </w:r>
    </w:p>
    <w:p>
      <w:pPr>
        <w:pStyle w:val="style0"/>
        <w:jc w:val="center"/>
      </w:pPr>
      <w:r>
        <w:rPr>
          <w:rFonts w:ascii="Verdana" w:hAnsi="Verdana"/>
          <w:b/>
          <w:bCs/>
          <w:sz w:val="28"/>
          <w:szCs w:val="28"/>
        </w:rPr>
        <w:t>PARECER REGIMENTAL (CONTRÁRIO)</w:t>
      </w:r>
    </w:p>
    <w:p>
      <w:pPr>
        <w:pStyle w:val="style0"/>
        <w:jc w:val="center"/>
      </w:pPr>
      <w:r>
        <w:rPr>
          <w:rFonts w:ascii="Verdana" w:hAnsi="Verdana"/>
          <w:b/>
          <w:bCs/>
        </w:rPr>
      </w:r>
    </w:p>
    <w:p>
      <w:pPr>
        <w:pStyle w:val="style0"/>
        <w:jc w:val="center"/>
      </w:pPr>
      <w:r>
        <w:rPr>
          <w:rFonts w:ascii="Verdana" w:hAnsi="Verdana"/>
          <w:b/>
          <w:bCs/>
        </w:rPr>
        <w:t>COMISSÃO DE LEGISLAÇÃO E JUSTIÇA</w:t>
      </w:r>
    </w:p>
    <w:p>
      <w:pPr>
        <w:pStyle w:val="style0"/>
        <w:jc w:val="center"/>
      </w:pPr>
      <w:r>
        <w:rPr>
          <w:rFonts w:ascii="Verdana" w:hAnsi="Verdana"/>
          <w:b/>
          <w:bCs/>
        </w:rPr>
      </w:r>
    </w:p>
    <w:p>
      <w:pPr>
        <w:pStyle w:val="style0"/>
      </w:pPr>
      <w:r>
        <w:rPr>
          <w:rFonts w:ascii="Verdana" w:cs="DejaVu Sans" w:hAnsi="Verdana"/>
          <w:b/>
          <w:bCs/>
        </w:rPr>
      </w:r>
    </w:p>
    <w:p>
      <w:pPr>
        <w:pStyle w:val="style0"/>
        <w:jc w:val="both"/>
      </w:pPr>
      <w:r>
        <w:rPr>
          <w:rFonts w:ascii="Verdana" w:cs="DejaVu Sans" w:hAnsi="Verdana"/>
          <w:b/>
          <w:bCs/>
        </w:rPr>
        <w:t>MATÉRIA:</w:t>
      </w:r>
      <w:r>
        <w:rPr>
          <w:rFonts w:ascii="Verdana" w:cs="DejaVu Sans" w:hAnsi="Verdana"/>
          <w:bCs/>
        </w:rPr>
        <w:t xml:space="preserve"> Emenda Aditiva nº 002 ao Projeto de Lei nº 156/2013 – </w:t>
      </w:r>
      <w:r>
        <w:rPr>
          <w:rFonts w:ascii="Verdana" w:hAnsi="Verdana"/>
        </w:rPr>
        <w:t>“Dispõe sobre o Plano Plurianual para o período 2014/2017”.</w:t>
      </w:r>
    </w:p>
    <w:p>
      <w:pPr>
        <w:pStyle w:val="style0"/>
        <w:jc w:val="both"/>
      </w:pPr>
      <w:r>
        <w:rPr>
          <w:rFonts w:ascii="Verdana" w:cs="DejaVu Sans" w:hAnsi="Verdana"/>
          <w:bCs/>
        </w:rPr>
      </w:r>
    </w:p>
    <w:p>
      <w:pPr>
        <w:pStyle w:val="style0"/>
        <w:jc w:val="both"/>
      </w:pPr>
      <w:r>
        <w:rPr>
          <w:rFonts w:ascii="Verdana" w:cs="DejaVu Sans" w:hAnsi="Verdana"/>
          <w:b/>
          <w:bCs/>
        </w:rPr>
        <w:t>AUTORIA:</w:t>
      </w:r>
      <w:r>
        <w:rPr>
          <w:rFonts w:ascii="Verdana" w:cs="DejaVu Sans" w:hAnsi="Verdana"/>
        </w:rPr>
        <w:t xml:space="preserve"> Vereador Alcides Longo de Barros.</w:t>
      </w:r>
    </w:p>
    <w:p>
      <w:pPr>
        <w:pStyle w:val="style0"/>
        <w:jc w:val="both"/>
      </w:pPr>
      <w:r>
        <w:rPr>
          <w:rFonts w:ascii="Verdana" w:cs="DejaVu Sans" w:hAnsi="Verdana"/>
        </w:rPr>
        <w:t>_______________________________________________________</w:t>
      </w:r>
    </w:p>
    <w:p>
      <w:pPr>
        <w:pStyle w:val="style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  <w:t>Relatório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A proposição acima referenciada, cuja autoria pertence a membro deste Colegiado, propõe o acréscimo de uma meta - comemorações do “Dia Municipal da Marcha para Jesus” - na Ação municipal “Fomento às manifestações populares e atividades culturais estabelecidas no Calendário Municipal” estabelecida no Programa 2301 – Cultura, Preservação, Promoção e Acesso – do Anexo IV do Projeto de Lei referente ao PPA 2014/2017.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  <w:t>A proposição foi distribuída a esta Comissão de Legislação e Justiça para receber parecer quanto aos aspectos de sua juridicidade, constitucionalidade e legalidade, nos termos do disposto no art. 69 e § 1º do art. 83 do Regimento Interno.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  <w:u w:val="single"/>
        </w:rPr>
        <w:t>Fundamentação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Ressalte-se, primeiramente, que o Brasil não mais adota uma religião oficial, posto que a Constituição de 1988 consolidou o Estado laico ou seja, neutro. Assim, permite-se ampla liberdade de crença, pautada na isonomia e na desvinculação com assuntos políticos e jurídicos da Nação.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Nesse sentido preceitua o inciso I do art. 19 da Carta Nacional: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Times New Roman" w:hAnsi="Times New Roman"/>
          <w:i/>
        </w:rPr>
        <w:t>“</w:t>
      </w:r>
      <w:r>
        <w:rPr>
          <w:rFonts w:ascii="Times New Roman" w:hAnsi="Times New Roman"/>
          <w:i/>
        </w:rPr>
        <w:t>Art. 19. É vedado à União, aos Estados, ao Distrito Federal e aos Municípios:</w:t>
      </w:r>
    </w:p>
    <w:p>
      <w:pPr>
        <w:pStyle w:val="style0"/>
        <w:ind w:firstLine="2295" w:left="0" w:right="0"/>
        <w:jc w:val="both"/>
      </w:pPr>
      <w:r>
        <w:rPr>
          <w:rFonts w:ascii="Times New Roman" w:hAnsi="Times New Roman"/>
          <w:i/>
        </w:rPr>
        <w:t xml:space="preserve">I-estabelecer cultos religiosos ou igrejas, </w:t>
      </w:r>
      <w:r>
        <w:rPr>
          <w:rFonts w:ascii="Times New Roman" w:hAnsi="Times New Roman"/>
          <w:b/>
          <w:i/>
        </w:rPr>
        <w:t>subvencioná-los,</w:t>
      </w:r>
      <w:r>
        <w:rPr>
          <w:rFonts w:ascii="Times New Roman" w:hAnsi="Times New Roman"/>
          <w:i/>
        </w:rPr>
        <w:t xml:space="preserve"> embaraçar-lhes o funcionamento ou manter com eles ou seus representantes relações de </w:t>
      </w:r>
    </w:p>
    <w:p>
      <w:pPr>
        <w:pStyle w:val="style0"/>
        <w:jc w:val="both"/>
      </w:pPr>
      <w:r>
        <w:rPr>
          <w:drawing>
            <wp:inline distB="0" distL="0" distR="0" distT="0">
              <wp:extent cx="4819650" cy="857250"/>
              <wp:effectExtent b="0" l="0" r="0" t="0"/>
              <wp:docPr descr="" id="1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19650" cy="857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style0"/>
        <w:ind w:firstLine="2295" w:left="0" w:right="0"/>
        <w:jc w:val="both"/>
      </w:pPr>
      <w:r>
        <w:rPr>
          <w:rFonts w:ascii="Times New Roman" w:hAnsi="Times New Roman"/>
          <w:i/>
        </w:rPr>
      </w:r>
    </w:p>
    <w:p>
      <w:pPr>
        <w:pStyle w:val="style0"/>
        <w:jc w:val="both"/>
      </w:pPr>
      <w:r>
        <w:rPr>
          <w:rFonts w:ascii="Times New Roman" w:hAnsi="Times New Roman"/>
          <w:i/>
        </w:rPr>
        <w:t xml:space="preserve">dependência ou aliança, ressalvada, na forma da lei, a colaboração de interesse público” </w:t>
      </w:r>
      <w:r>
        <w:rPr>
          <w:rFonts w:ascii="Verdana" w:hAnsi="Verdana"/>
          <w:i/>
        </w:rPr>
        <w:t>(grifo nosso).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Ao proibir subvenção (concorrência de recursos públicos para atividade religiosa), fica claro que a Constituição Federal exclui a ideia de Estado teocrático, coibindo a adoção de uma ou várias religiões oficiais e vedando possíveis privilégios advindos desse âmbito.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Portanto, a utilização de verba pública para a realização de atividades religiosas é um ato eivado de inconstitucionalidade, a menos que vise relevantes serviços prestados à comunidade de forma voluntária, tais como a assistência social, o aconselhamento familiar e individual, o combate a todo tipo de violência, a recuperação de dependentes químicos, a construção de hospitais ou creches entre muitos outros serviços de suma importância em favor dos munícipes. Nenhuma dessas hipóteses se aplica ao caso em tela, pois a contribuição seria unicamente para a prática religiosa.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No que se refere ao fundamento legal da emenda, a Lei nº 4.068/94 que institui o “Dia Municipal de Marcha para Jesus”, sem adentrarmos na questão de sua constitucionalidade, tem-se que a mesma apenas institui uma data para a realização da “Marcha para Jesus”, não determinando que tal evento seja inserido no Calendário Oficial do Município de Sete Lagoas, nem estabelecendo qualquer ação do Poder público para a realização da marcha.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Ante o exposto, pode-se constatar que a utilização de recursos públicos para promoção de eventos religiosos é prática que não encontra abrigo em nosso sistema constitucional e pode ser objeto de glosa e responsabilização pelos órgãos de controle.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  <w:t>Conclusão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jc w:val="both"/>
      </w:pPr>
      <w:r>
        <w:rPr>
          <w:rFonts w:ascii="Verdana" w:cs="DejaVu Sans" w:hAnsi="Verdana"/>
        </w:rPr>
        <w:t xml:space="preserve">                         </w:t>
      </w:r>
      <w:r>
        <w:rPr>
          <w:rFonts w:ascii="Verdana" w:cs="DejaVu Sans" w:hAnsi="Verdana"/>
        </w:rPr>
        <w:t>Em face do exposto, este relator conclui pela  i</w:t>
      </w:r>
      <w:r>
        <w:rPr>
          <w:rFonts w:ascii="Verdana" w:hAnsi="Verdana"/>
        </w:rPr>
        <w:t xml:space="preserve">legalidade,  inconstitucionalidade  e   injuridicidade da </w:t>
      </w:r>
      <w:r>
        <w:rPr>
          <w:rFonts w:ascii="Verdana" w:cs="DejaVu Sans" w:hAnsi="Verdana"/>
          <w:bCs/>
        </w:rPr>
        <w:t xml:space="preserve">Emenda Aditiva nº 02 ao Projeto de Lei nº 156/2013 que </w:t>
      </w:r>
      <w:r>
        <w:rPr>
          <w:rFonts w:ascii="Verdana" w:hAnsi="Verdana"/>
        </w:rPr>
        <w:t>“Dispõe sobre o Plano Plurianual para o período 2014/2017”.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Sala das Reuniões, 05 de dezembro de 2013.</w:t>
      </w:r>
      <w:r>
        <w:rPr/>
        <w:t xml:space="preserve">                                       </w:t>
      </w:r>
    </w:p>
    <w:p>
      <w:pPr>
        <w:pStyle w:val="style0"/>
        <w:ind w:firstLine="2295" w:left="0" w:right="0"/>
      </w:pPr>
      <w:r>
        <w:rPr/>
        <w:t xml:space="preserve">                          </w:t>
      </w:r>
      <w:r>
        <w:rPr>
          <w:rFonts w:ascii="Verdana" w:cs="DejaVu Sans" w:hAnsi="Verdana"/>
        </w:rPr>
        <w:t xml:space="preserve">         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Dalton Antônio de Avelar Andrade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Relator</w:t>
      </w:r>
    </w:p>
    <w:p>
      <w:pPr>
        <w:pStyle w:val="style0"/>
      </w:pPr>
      <w:r>
        <w:rPr>
          <w:drawing>
            <wp:inline distB="0" distL="0" distR="0" distT="0">
              <wp:extent cx="4819650" cy="857250"/>
              <wp:effectExtent b="0" l="0" r="0" t="0"/>
              <wp:docPr descr="" id="2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2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19650" cy="857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u w:val="single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u w:val="single"/>
        </w:rPr>
        <w:t>V O T O S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De acordo com o relator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Euro de Andrade Lanza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Presidente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Marcelo Pires Rodrigues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Vereador</w:t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Liberation Serif" w:cs="Times New Roman" w:eastAsia="DejaVu Sans" w:hAnsi="Liberation Serif"/>
      <w:color w:val="auto"/>
      <w:sz w:val="24"/>
      <w:szCs w:val="24"/>
      <w:lang w:bidi="ar-SA" w:eastAsia="pt-BR" w:val="pt-BR"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7" w:type="paragraph">
    <w:name w:val="Corpo do texto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a"/>
    <w:basedOn w:val="style17"/>
    <w:next w:val="style18"/>
    <w:pPr/>
    <w:rPr>
      <w:rFonts w:cs="Mangal"/>
    </w:rPr>
  </w:style>
  <w:style w:styleId="style19" w:type="paragraph">
    <w:name w:val="Legenda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Índice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image" Target="media/image2.emf"/><Relationship Id="rId4" Type="http://schemas.openxmlformats.org/officeDocument/2006/relationships/image" Target="media/image3.emf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2013-12-10T10:37:00.00Z</dcterms:created>
  <dc:creator>Usuario</dc:creator>
  <cp:lastModifiedBy>Usuario</cp:lastModifiedBy>
  <cp:lastPrinted>2013-12-10T12:08:00.00Z</cp:lastPrinted>
  <dcterms:modified xsi:type="dcterms:W3CDTF">2013-12-10T12:08:00.00Z</dcterms:modified>
  <cp:revision>6</cp:revision>
</cp:coreProperties>
</file>