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A08A" w14:textId="77777777" w:rsidR="002F21E4" w:rsidRPr="008D6C3E" w:rsidRDefault="002F21E4" w:rsidP="002F21E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2B59D512" wp14:editId="304FDB52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4" name="Imagem 4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029DB315" wp14:editId="76EBDB62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5" name="Imagem 5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319DB948" w14:textId="77777777" w:rsidR="002F21E4" w:rsidRDefault="002F21E4" w:rsidP="002F21E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0AD9CF42" w14:textId="77777777" w:rsidR="002F21E4" w:rsidRDefault="002F21E4" w:rsidP="002F21E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60F0D11F" w14:textId="77777777" w:rsidR="002F21E4" w:rsidRDefault="002F21E4" w:rsidP="002F21E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São Geraldo – Sete Lagoas / MG</w:t>
      </w:r>
    </w:p>
    <w:p w14:paraId="11936A4E" w14:textId="77777777" w:rsidR="002F21E4" w:rsidRDefault="002F21E4" w:rsidP="002F2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18"/>
        </w:rPr>
        <w:t xml:space="preserve">                                         CEP: 35700-177 Fone: 31 3779-6300</w:t>
      </w:r>
    </w:p>
    <w:p w14:paraId="5F61F638" w14:textId="77777777" w:rsidR="002F21E4" w:rsidRDefault="002F21E4" w:rsidP="002F2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FB1E9" w14:textId="68373683" w:rsidR="002F21E4" w:rsidRDefault="002F21E4" w:rsidP="002F2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</w:t>
      </w:r>
      <w:r w:rsidR="006252B9">
        <w:rPr>
          <w:rFonts w:ascii="Times New Roman" w:hAnsi="Times New Roman" w:cs="Times New Roman"/>
          <w:b/>
          <w:sz w:val="24"/>
          <w:szCs w:val="24"/>
        </w:rPr>
        <w:t xml:space="preserve"> REUNIÃO ESPECIAL RESULTANTE DA</w:t>
      </w:r>
      <w:r>
        <w:rPr>
          <w:rFonts w:ascii="Times New Roman" w:hAnsi="Times New Roman" w:cs="Times New Roman"/>
          <w:b/>
          <w:sz w:val="24"/>
          <w:szCs w:val="24"/>
        </w:rPr>
        <w:t xml:space="preserve"> AUDIÊNCIA PÚBLIC</w:t>
      </w:r>
      <w:r w:rsidR="002164D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3E4B3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3E4B3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DA CÂMARA MUNICIPAL DE SETE LAGOAS REALIZADA NO DIA  </w:t>
      </w:r>
      <w:r w:rsidR="003E4B38">
        <w:rPr>
          <w:rFonts w:ascii="Times New Roman" w:hAnsi="Times New Roman" w:cs="Times New Roman"/>
          <w:b/>
          <w:sz w:val="24"/>
          <w:szCs w:val="24"/>
        </w:rPr>
        <w:t>2</w:t>
      </w:r>
      <w:r w:rsidR="00E944E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E4B38">
        <w:rPr>
          <w:rFonts w:ascii="Times New Roman" w:hAnsi="Times New Roman" w:cs="Times New Roman"/>
          <w:b/>
          <w:sz w:val="24"/>
          <w:szCs w:val="24"/>
        </w:rPr>
        <w:t>NOVEMBRO</w:t>
      </w:r>
      <w:r w:rsidR="00681FBF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4B3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, ÀS 09:00 HORAS, COM O </w:t>
      </w:r>
      <w:r w:rsidR="007C7C22">
        <w:rPr>
          <w:rFonts w:ascii="Times New Roman" w:hAnsi="Times New Roman" w:cs="Times New Roman"/>
          <w:b/>
          <w:sz w:val="24"/>
          <w:szCs w:val="24"/>
        </w:rPr>
        <w:t>TEMA: DESAFIOS DA EDUCAÇÃO E A LUTA PARA ALCANÇAR O PISO SALARIAL DO</w:t>
      </w:r>
      <w:r w:rsidR="00625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C22">
        <w:rPr>
          <w:rFonts w:ascii="Times New Roman" w:hAnsi="Times New Roman" w:cs="Times New Roman"/>
          <w:b/>
          <w:sz w:val="24"/>
          <w:szCs w:val="24"/>
        </w:rPr>
        <w:t>MAGISTÉRIO\\\\\\\\\\\\\\\\\\\\\\\\\\\\\</w:t>
      </w:r>
    </w:p>
    <w:p w14:paraId="2FBF7AF8" w14:textId="137697D8" w:rsidR="005F7509" w:rsidRPr="00501862" w:rsidRDefault="002F21E4" w:rsidP="005F7509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3E4B38">
        <w:rPr>
          <w:rFonts w:ascii="Times New Roman" w:hAnsi="Times New Roman" w:cs="Times New Roman"/>
          <w:sz w:val="24"/>
          <w:szCs w:val="24"/>
        </w:rPr>
        <w:t xml:space="preserve">vinte e </w:t>
      </w:r>
      <w:r w:rsidR="00E944E3">
        <w:rPr>
          <w:rFonts w:ascii="Times New Roman" w:hAnsi="Times New Roman" w:cs="Times New Roman"/>
          <w:sz w:val="24"/>
          <w:szCs w:val="24"/>
        </w:rPr>
        <w:t>sete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dias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mês de </w:t>
      </w:r>
      <w:r w:rsidR="003E4B3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do ano de dois mil e vinte</w:t>
      </w:r>
      <w:r w:rsidR="00681FBF">
        <w:rPr>
          <w:rFonts w:ascii="Times New Roman" w:hAnsi="Times New Roman" w:cs="Times New Roman"/>
          <w:sz w:val="24"/>
          <w:szCs w:val="24"/>
        </w:rPr>
        <w:t xml:space="preserve"> e </w:t>
      </w:r>
      <w:r w:rsidR="003E4B38">
        <w:rPr>
          <w:rFonts w:ascii="Times New Roman" w:hAnsi="Times New Roman" w:cs="Times New Roman"/>
          <w:sz w:val="24"/>
          <w:szCs w:val="24"/>
        </w:rPr>
        <w:t>três,</w:t>
      </w:r>
      <w:r>
        <w:rPr>
          <w:rFonts w:ascii="Times New Roman" w:hAnsi="Times New Roman" w:cs="Times New Roman"/>
          <w:sz w:val="24"/>
          <w:szCs w:val="24"/>
        </w:rPr>
        <w:t xml:space="preserve"> às nove horas,  </w:t>
      </w:r>
      <w:r w:rsidR="006252B9">
        <w:rPr>
          <w:rFonts w:ascii="Times New Roman" w:hAnsi="Times New Roman" w:cs="Times New Roman"/>
          <w:sz w:val="24"/>
          <w:szCs w:val="24"/>
        </w:rPr>
        <w:t xml:space="preserve">foi </w:t>
      </w:r>
      <w:r>
        <w:rPr>
          <w:rFonts w:ascii="Times New Roman" w:hAnsi="Times New Roman" w:cs="Times New Roman"/>
          <w:sz w:val="24"/>
          <w:szCs w:val="24"/>
        </w:rPr>
        <w:t>realiz</w:t>
      </w:r>
      <w:r w:rsidR="006252B9">
        <w:rPr>
          <w:rFonts w:ascii="Times New Roman" w:hAnsi="Times New Roman" w:cs="Times New Roman"/>
          <w:sz w:val="24"/>
          <w:szCs w:val="24"/>
        </w:rPr>
        <w:t>ada a Reunião Especial, resultante</w:t>
      </w:r>
      <w:r>
        <w:rPr>
          <w:rFonts w:ascii="Times New Roman" w:hAnsi="Times New Roman" w:cs="Times New Roman"/>
          <w:sz w:val="24"/>
          <w:szCs w:val="24"/>
        </w:rPr>
        <w:t xml:space="preserve"> da Audiência Pública</w:t>
      </w:r>
      <w:r w:rsidR="003E4B38">
        <w:rPr>
          <w:rFonts w:ascii="Times New Roman" w:hAnsi="Times New Roman" w:cs="Times New Roman"/>
          <w:sz w:val="24"/>
          <w:szCs w:val="24"/>
        </w:rPr>
        <w:t xml:space="preserve"> nº 23/2023</w:t>
      </w:r>
      <w:r w:rsidR="00852B09">
        <w:rPr>
          <w:rFonts w:ascii="Times New Roman" w:hAnsi="Times New Roman" w:cs="Times New Roman"/>
          <w:sz w:val="24"/>
          <w:szCs w:val="24"/>
        </w:rPr>
        <w:t>, para apresentação d</w:t>
      </w:r>
      <w:r w:rsidR="00AE7EBB">
        <w:rPr>
          <w:rFonts w:ascii="Times New Roman" w:hAnsi="Times New Roman" w:cs="Times New Roman"/>
          <w:sz w:val="24"/>
          <w:szCs w:val="24"/>
        </w:rPr>
        <w:t>o impacto financeiro para pagamento do piso nacional do magistério</w:t>
      </w:r>
      <w:r w:rsidR="006252B9">
        <w:rPr>
          <w:rFonts w:ascii="Times New Roman" w:hAnsi="Times New Roman" w:cs="Times New Roman"/>
          <w:sz w:val="24"/>
          <w:szCs w:val="24"/>
        </w:rPr>
        <w:t>.</w:t>
      </w:r>
      <w:r w:rsidR="00E94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abertura da reunião foi realizada pelo Cerimonial da Casa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="00975D63">
        <w:rPr>
          <w:rFonts w:ascii="Times New Roman" w:hAnsi="Times New Roman" w:cs="Times New Roman"/>
          <w:color w:val="212529"/>
          <w:sz w:val="24"/>
          <w:szCs w:val="24"/>
        </w:rPr>
        <w:t>O Presidente desta reunião, Vereador Rodrigo Braga,</w:t>
      </w:r>
      <w:r w:rsidR="00852B0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5D42CE">
        <w:rPr>
          <w:rFonts w:ascii="Times New Roman" w:hAnsi="Times New Roman" w:cs="Times New Roman"/>
          <w:color w:val="212529"/>
          <w:sz w:val="24"/>
          <w:szCs w:val="24"/>
        </w:rPr>
        <w:t xml:space="preserve">Presidente da Comissão de Educação, Cultura, Desporto e Turismo, 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>deu boa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 vinda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 a todos, agradecendo a presença de todos, e o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a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poio de todos os presentes, principalmente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do 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pessoal que trabalha na educação. Convocou a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ecretaria de Educação e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a Secretaria da 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Fazenda para discutir esse tema que é de extrema importância e relevância.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Mencionou que já foi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 realiza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da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 02 audi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ê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>ncias e ainda não obtivemos respostas satisfat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ó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>rias. Hoje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AE7EBB">
        <w:rPr>
          <w:rFonts w:ascii="Times New Roman" w:hAnsi="Times New Roman" w:cs="Times New Roman"/>
          <w:color w:val="212529"/>
          <w:sz w:val="24"/>
          <w:szCs w:val="24"/>
        </w:rPr>
        <w:t xml:space="preserve"> temos mais uma oportunidade de escutarmos o executivo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, buscando soluções. Essa causa não pode ser adiada. Estamos sendo aqui representados pelas escolas. Estendo meus agradecimentos aos secretário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aqui presentes. Os educa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n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dos desempenham um pa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p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el crucial no futuro de nossa comunidade. Parabenizou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o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indicato pelo empenho e luta.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Informou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que fizeram uma </w:t>
      </w:r>
      <w:proofErr w:type="spellStart"/>
      <w:r w:rsidR="00574E45">
        <w:rPr>
          <w:rFonts w:ascii="Times New Roman" w:hAnsi="Times New Roman" w:cs="Times New Roman"/>
          <w:color w:val="212529"/>
          <w:sz w:val="24"/>
          <w:szCs w:val="24"/>
        </w:rPr>
        <w:t>live</w:t>
      </w:r>
      <w:proofErr w:type="spellEnd"/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junto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com 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a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ecretaria de educação quanto ao concurso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agradecendo a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participação da 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Secretaria de Educação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 e dizendo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que foram catalogados questionamentos e estes foram respondidos pela Secretária, e como surgiram outros questionamento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, será feito 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uma 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nova </w:t>
      </w:r>
      <w:proofErr w:type="spellStart"/>
      <w:r w:rsidR="00574E45">
        <w:rPr>
          <w:rFonts w:ascii="Times New Roman" w:hAnsi="Times New Roman" w:cs="Times New Roman"/>
          <w:color w:val="212529"/>
          <w:sz w:val="24"/>
          <w:szCs w:val="24"/>
        </w:rPr>
        <w:t>live</w:t>
      </w:r>
      <w:proofErr w:type="spellEnd"/>
      <w:r w:rsidR="00574E45">
        <w:rPr>
          <w:rFonts w:ascii="Times New Roman" w:hAnsi="Times New Roman" w:cs="Times New Roman"/>
          <w:color w:val="212529"/>
          <w:sz w:val="24"/>
          <w:szCs w:val="24"/>
        </w:rPr>
        <w:t>. Agradeceu a presença do Vereador Alcides, da Vereadora Heloisa Frois</w:t>
      </w:r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, do Vereador </w:t>
      </w:r>
      <w:proofErr w:type="spellStart"/>
      <w:r w:rsidR="006252B9">
        <w:rPr>
          <w:rFonts w:ascii="Times New Roman" w:hAnsi="Times New Roman" w:cs="Times New Roman"/>
          <w:color w:val="212529"/>
          <w:sz w:val="24"/>
          <w:szCs w:val="24"/>
        </w:rPr>
        <w:t>Ivson</w:t>
      </w:r>
      <w:proofErr w:type="spellEnd"/>
      <w:r w:rsidR="006252B9">
        <w:rPr>
          <w:rFonts w:ascii="Times New Roman" w:hAnsi="Times New Roman" w:cs="Times New Roman"/>
          <w:color w:val="212529"/>
          <w:sz w:val="24"/>
          <w:szCs w:val="24"/>
        </w:rPr>
        <w:t xml:space="preserve"> Gomes e citando a presença da Vereadora Marli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 xml:space="preserve">. Dando prosseguimento, passou a palavra à </w:t>
      </w:r>
      <w:r w:rsid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>S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ecretária </w:t>
      </w:r>
      <w:r w:rsidR="00C7322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Municipal 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da </w:t>
      </w:r>
      <w:r w:rsidR="00C73222">
        <w:rPr>
          <w:rFonts w:ascii="Times New Roman" w:hAnsi="Times New Roman" w:cs="Times New Roman"/>
          <w:b/>
          <w:bCs/>
          <w:color w:val="212529"/>
          <w:sz w:val="24"/>
          <w:szCs w:val="24"/>
        </w:rPr>
        <w:t>E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ducação </w:t>
      </w:r>
      <w:r w:rsidR="00C73222">
        <w:rPr>
          <w:rFonts w:ascii="Times New Roman" w:hAnsi="Times New Roman" w:cs="Times New Roman"/>
          <w:b/>
          <w:bCs/>
          <w:color w:val="212529"/>
          <w:sz w:val="24"/>
          <w:szCs w:val="24"/>
        </w:rPr>
        <w:t>- R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osilene </w:t>
      </w:r>
      <w:r w:rsidR="00C73222">
        <w:rPr>
          <w:rFonts w:ascii="Times New Roman" w:hAnsi="Times New Roman" w:cs="Times New Roman"/>
          <w:b/>
          <w:bCs/>
          <w:color w:val="212529"/>
          <w:sz w:val="24"/>
          <w:szCs w:val="24"/>
        </w:rPr>
        <w:t>A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lves </w:t>
      </w:r>
      <w:proofErr w:type="gramStart"/>
      <w:r w:rsidR="00C73222">
        <w:rPr>
          <w:rFonts w:ascii="Times New Roman" w:hAnsi="Times New Roman" w:cs="Times New Roman"/>
          <w:b/>
          <w:bCs/>
          <w:color w:val="212529"/>
          <w:sz w:val="24"/>
          <w:szCs w:val="24"/>
        </w:rPr>
        <w:t>T</w:t>
      </w:r>
      <w:r w:rsidR="00FE48E6" w:rsidRPr="00FE48E6">
        <w:rPr>
          <w:rFonts w:ascii="Times New Roman" w:hAnsi="Times New Roman" w:cs="Times New Roman"/>
          <w:b/>
          <w:bCs/>
          <w:color w:val="212529"/>
          <w:sz w:val="24"/>
          <w:szCs w:val="24"/>
        </w:rPr>
        <w:t>eixeira</w:t>
      </w:r>
      <w:r w:rsidR="00FE48E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73222">
        <w:rPr>
          <w:rFonts w:ascii="Times New Roman" w:hAnsi="Times New Roman" w:cs="Times New Roman"/>
          <w:color w:val="212529"/>
          <w:sz w:val="24"/>
          <w:szCs w:val="24"/>
        </w:rPr>
        <w:t xml:space="preserve"> que</w:t>
      </w:r>
      <w:proofErr w:type="gramEnd"/>
      <w:r w:rsidR="00C73222">
        <w:rPr>
          <w:rFonts w:ascii="Times New Roman" w:hAnsi="Times New Roman" w:cs="Times New Roman"/>
          <w:color w:val="212529"/>
          <w:sz w:val="24"/>
          <w:szCs w:val="24"/>
        </w:rPr>
        <w:t xml:space="preserve"> m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encionou que desde sua nomeação como Secretária, t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entou estabelecer uma relação de di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á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logo junto ao sindicato e todos que colaboram com a Secretaria de Educação. Secretários de administração que sempre informam a ela quanto aos recursos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o que pode e o que não pode. Verbas da educação são carimbadas. Vereador 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R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odrigo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 xml:space="preserve"> citou que esse é um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momento informativo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, p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ara que v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ocês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levem isso as escolas. 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>Secretária Rosilene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 xml:space="preserve"> – solicitei aos gestores que enviassem 01 representante 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 xml:space="preserve">de cada Escola </w:t>
      </w:r>
      <w:r w:rsidR="00574E45">
        <w:rPr>
          <w:rFonts w:ascii="Times New Roman" w:hAnsi="Times New Roman" w:cs="Times New Roman"/>
          <w:color w:val="212529"/>
          <w:sz w:val="24"/>
          <w:szCs w:val="24"/>
        </w:rPr>
        <w:t>para serem multiplicadores.</w:t>
      </w:r>
      <w:r w:rsidR="005F7509">
        <w:rPr>
          <w:rFonts w:ascii="Times New Roman" w:hAnsi="Times New Roman" w:cs="Times New Roman"/>
          <w:color w:val="212529"/>
          <w:sz w:val="24"/>
          <w:szCs w:val="24"/>
        </w:rPr>
        <w:t xml:space="preserve"> Passou a palavra a </w:t>
      </w:r>
      <w:r w:rsid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</w:t>
      </w:r>
      <w:r w:rsidR="00C73222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afael </w:t>
      </w:r>
      <w:r w:rsid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</w:t>
      </w:r>
      <w:r w:rsidR="00C73222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lavo de </w:t>
      </w:r>
      <w:r w:rsid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</w:t>
      </w:r>
      <w:r w:rsidR="00C73222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arvalho </w:t>
      </w:r>
      <w:r w:rsidR="00AE7EBB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– Secretário Municipal de Administração</w:t>
      </w:r>
      <w:r w:rsidR="00AE7E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7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a</w:t>
      </w:r>
      <w:r w:rsidR="005F75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presentou o</w:t>
      </w:r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o </w:t>
      </w:r>
      <w:r w:rsidR="00C7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xecutivo vem investindo na educação em 2023. Para 2024 já foram feitas as planilhas e enviadas na </w:t>
      </w:r>
      <w:proofErr w:type="gramStart"/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LOA  para</w:t>
      </w:r>
      <w:proofErr w:type="gramEnd"/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essa casa. Houve o questionamento do impacto do piso na </w:t>
      </w:r>
      <w:proofErr w:type="spellStart"/>
      <w:proofErr w:type="gramStart"/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educação.Tentei</w:t>
      </w:r>
      <w:proofErr w:type="spellEnd"/>
      <w:proofErr w:type="gramEnd"/>
      <w:r w:rsidR="00574E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sintetizar  nessa tabela</w:t>
      </w:r>
      <w:r w:rsid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F7509" w:rsidRPr="005F750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IMPACTO – </w:t>
      </w:r>
      <w:r w:rsidR="009238DB" w:rsidRPr="005F750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APLICAÇÃO DO PISO DO MAGISTÉRIO – ANO 2023</w:t>
      </w:r>
    </w:p>
    <w:tbl>
      <w:tblPr>
        <w:tblW w:w="94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1"/>
        <w:gridCol w:w="175"/>
        <w:gridCol w:w="154"/>
        <w:gridCol w:w="662"/>
        <w:gridCol w:w="478"/>
        <w:gridCol w:w="785"/>
        <w:gridCol w:w="358"/>
        <w:gridCol w:w="570"/>
        <w:gridCol w:w="768"/>
        <w:gridCol w:w="182"/>
        <w:gridCol w:w="961"/>
        <w:gridCol w:w="622"/>
        <w:gridCol w:w="698"/>
        <w:gridCol w:w="1263"/>
        <w:gridCol w:w="71"/>
        <w:gridCol w:w="1320"/>
      </w:tblGrid>
      <w:tr w:rsidR="00505D01" w:rsidRPr="00505D01" w14:paraId="1EED5DA4" w14:textId="77777777" w:rsidTr="00505D01">
        <w:trPr>
          <w:trHeight w:val="1127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4D757B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CARGO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A0C24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QUANTITATIVO DE SERVIDORES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4917E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VENCIMENTO COM BASE 16 MÓDULOS - ATUAL (UNITÁRIO)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2695B0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VENCIMENTO CONSIDERANDO O PISO - 20H (UNITÁRIO)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49778C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DIFERENÇA VENCIMENTO PISO - ATUAL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7C244F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REMUNERAÇÃO TOTAL COM BASE 16 MÓDULOS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899448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REMUNERAÇÃO TOTAL CONSIDERANDO O PISO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0A8718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DIFERENÇA REMUNERAÇÃO PISO - ATUAL</w:t>
            </w:r>
          </w:p>
        </w:tc>
      </w:tr>
      <w:tr w:rsidR="00505D01" w:rsidRPr="00505D01" w14:paraId="1710CEDE" w14:textId="77777777" w:rsidTr="00505D01">
        <w:trPr>
          <w:trHeight w:val="514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32E1FB8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P.E.B. Efetivo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B837FB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667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C7F104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1.993,90 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75F667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2.210,28 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37A9FFE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216,38 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2588D3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2.976.313,23 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2D7A4C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3.299.305,69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B9AC39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322.992,46 </w:t>
            </w:r>
          </w:p>
        </w:tc>
      </w:tr>
      <w:tr w:rsidR="00505D01" w:rsidRPr="00505D01" w14:paraId="7AB42CEC" w14:textId="77777777" w:rsidTr="00505D01">
        <w:trPr>
          <w:trHeight w:val="514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DCCB0D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P.E.B. Efetivo (REAB. READ.)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366989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51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1F90E8F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1.815,00 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B049C9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2.011,97 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0B629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196,97 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7D1E1AB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193.796,16 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9CB3A8E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214.827,11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49246D6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21.030,95 </w:t>
            </w:r>
          </w:p>
        </w:tc>
      </w:tr>
      <w:tr w:rsidR="00505D01" w:rsidRPr="00505D01" w14:paraId="790478F4" w14:textId="77777777" w:rsidTr="00505D01">
        <w:trPr>
          <w:trHeight w:val="514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2C47E0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P.E.B. Contrato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6CE5D2D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966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D96A7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1.993,90 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D6B013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2.210,28 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72D9602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216,38 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E07AAD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2.704.326,63 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0CF48A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2.997.802,83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B2296E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293.476,20 </w:t>
            </w:r>
          </w:p>
        </w:tc>
      </w:tr>
      <w:tr w:rsidR="00505D01" w:rsidRPr="00505D01" w14:paraId="7201511A" w14:textId="77777777" w:rsidTr="00505D01">
        <w:trPr>
          <w:trHeight w:val="514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BA122D9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P.E.B. Remanescente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FC2C290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DAEDF1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1.600,87 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8B1217E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1.774,60 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E5E91B9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173,73 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0953D3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68.092,21 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E1BBE4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 75.481,64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3F1E596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7.389,43 </w:t>
            </w:r>
          </w:p>
        </w:tc>
      </w:tr>
      <w:tr w:rsidR="00505D01" w:rsidRPr="00505D01" w14:paraId="17AC3CE4" w14:textId="77777777" w:rsidTr="00505D01">
        <w:trPr>
          <w:trHeight w:val="514"/>
        </w:trPr>
        <w:tc>
          <w:tcPr>
            <w:tcW w:w="10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79159B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TOTAL</w:t>
            </w:r>
          </w:p>
        </w:tc>
        <w:tc>
          <w:tcPr>
            <w:tcW w:w="13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E2AAFE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1707</w:t>
            </w:r>
          </w:p>
        </w:tc>
        <w:tc>
          <w:tcPr>
            <w:tcW w:w="12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6AAC0CE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-   </w:t>
            </w:r>
          </w:p>
        </w:tc>
        <w:tc>
          <w:tcPr>
            <w:tcW w:w="13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FB365C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-   </w:t>
            </w:r>
          </w:p>
        </w:tc>
        <w:tc>
          <w:tcPr>
            <w:tcW w:w="1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054F71D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 -   </w:t>
            </w:r>
          </w:p>
        </w:tc>
        <w:tc>
          <w:tcPr>
            <w:tcW w:w="13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698C968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5.942.528,23 </w:t>
            </w:r>
          </w:p>
        </w:tc>
        <w:tc>
          <w:tcPr>
            <w:tcW w:w="1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E738B9F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6.587.417,27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1C041E2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644.889,04 </w:t>
            </w:r>
          </w:p>
        </w:tc>
      </w:tr>
      <w:tr w:rsidR="00505D01" w:rsidRPr="00505D01" w14:paraId="755D6431" w14:textId="77777777" w:rsidTr="00505D01">
        <w:trPr>
          <w:trHeight w:val="263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A8BCBC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505D01" w:rsidRPr="00505D01" w14:paraId="7ADE8F05" w14:textId="77777777" w:rsidTr="00505D01">
        <w:trPr>
          <w:trHeight w:val="272"/>
        </w:trPr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D99B39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u w:val="single"/>
                <w:shd w:val="clear" w:color="auto" w:fill="FFFFFF"/>
              </w:rPr>
              <w:t>Nota explicativa:</w:t>
            </w:r>
          </w:p>
        </w:tc>
        <w:tc>
          <w:tcPr>
            <w:tcW w:w="8717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96" w:type="dxa"/>
              <w:bottom w:w="0" w:type="dxa"/>
              <w:right w:w="11" w:type="dxa"/>
            </w:tcMar>
            <w:vAlign w:val="bottom"/>
            <w:hideMark/>
          </w:tcPr>
          <w:p w14:paraId="2924911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505D01" w:rsidRPr="00505D01" w14:paraId="6F6E0022" w14:textId="77777777" w:rsidTr="00505D01">
        <w:trPr>
          <w:trHeight w:val="421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219C17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1) O piso salarial do Professor da Educação Básica, foi fixado em R$ 4.420,55 para carga horária de 40h semanais, perfazendo então o valor de R$ 2.210,28 para 20h semanais.</w:t>
            </w:r>
          </w:p>
        </w:tc>
      </w:tr>
      <w:tr w:rsidR="00505D01" w:rsidRPr="00505D01" w14:paraId="53DF2E8B" w14:textId="77777777" w:rsidTr="00505D01">
        <w:trPr>
          <w:trHeight w:val="421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081A20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2) O valor de R$ 644.889,04 é referente ao montante devido à incorporação ao vencimento base com acréscimo de dois módulos e mantendo as extensões de carga horária.</w:t>
            </w:r>
          </w:p>
        </w:tc>
      </w:tr>
      <w:tr w:rsidR="00505D01" w:rsidRPr="00505D01" w14:paraId="65D13AA1" w14:textId="77777777" w:rsidTr="00505D01">
        <w:trPr>
          <w:trHeight w:val="257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4095A12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505D01" w:rsidRPr="00505D01" w14:paraId="1D0A915C" w14:textId="77777777" w:rsidTr="00505D01">
        <w:trPr>
          <w:trHeight w:val="339"/>
        </w:trPr>
        <w:tc>
          <w:tcPr>
            <w:tcW w:w="5129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6C3276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5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A758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VALOR DO REAJUSTE COM ENCARGOS</w:t>
            </w:r>
          </w:p>
        </w:tc>
      </w:tr>
      <w:tr w:rsidR="00505D01" w:rsidRPr="00505D01" w14:paraId="61AA832C" w14:textId="77777777" w:rsidTr="00505D01">
        <w:trPr>
          <w:trHeight w:val="652"/>
        </w:trPr>
        <w:tc>
          <w:tcPr>
            <w:tcW w:w="11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77327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VALOR DA PROJEÇÃO MENSAL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6DF7C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FÉRIAS + 1/3</w:t>
            </w:r>
          </w:p>
        </w:tc>
        <w:tc>
          <w:tcPr>
            <w:tcW w:w="13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4867FF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DÉCIMO TERCEIRO</w:t>
            </w:r>
          </w:p>
        </w:tc>
        <w:tc>
          <w:tcPr>
            <w:tcW w:w="10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CA743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SUBTOTAL</w:t>
            </w:r>
          </w:p>
        </w:tc>
        <w:tc>
          <w:tcPr>
            <w:tcW w:w="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8F58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PATRONAL (21,049%)</w:t>
            </w:r>
          </w:p>
        </w:tc>
        <w:tc>
          <w:tcPr>
            <w:tcW w:w="1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50724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IMPACTO MENSAL</w:t>
            </w:r>
          </w:p>
        </w:tc>
        <w:tc>
          <w:tcPr>
            <w:tcW w:w="19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3C9150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IMPACTO (NOVEMBRO A DEZEMBRO)</w:t>
            </w:r>
          </w:p>
        </w:tc>
        <w:tc>
          <w:tcPr>
            <w:tcW w:w="7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F9883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IMPACTO ANUAL</w:t>
            </w:r>
          </w:p>
        </w:tc>
      </w:tr>
      <w:tr w:rsidR="00505D01" w:rsidRPr="00505D01" w14:paraId="4A4CDF39" w14:textId="77777777" w:rsidTr="00505D01">
        <w:trPr>
          <w:trHeight w:val="539"/>
        </w:trPr>
        <w:tc>
          <w:tcPr>
            <w:tcW w:w="11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7727EB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                            644.889,04 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74342A8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 71.647,17 </w:t>
            </w:r>
          </w:p>
        </w:tc>
        <w:tc>
          <w:tcPr>
            <w:tcW w:w="13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60EA2A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53.740,75 </w:t>
            </w:r>
          </w:p>
        </w:tc>
        <w:tc>
          <w:tcPr>
            <w:tcW w:w="10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30443DE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770.276,97 </w:t>
            </w:r>
          </w:p>
        </w:tc>
        <w:tc>
          <w:tcPr>
            <w:tcW w:w="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AC8A17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                  162.135,60 </w:t>
            </w:r>
          </w:p>
        </w:tc>
        <w:tc>
          <w:tcPr>
            <w:tcW w:w="15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73A8A85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R$                  932.412,57 </w:t>
            </w:r>
          </w:p>
        </w:tc>
        <w:tc>
          <w:tcPr>
            <w:tcW w:w="19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BE0D4F4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R$                       1.864.825,13 </w:t>
            </w:r>
          </w:p>
        </w:tc>
        <w:tc>
          <w:tcPr>
            <w:tcW w:w="7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B5656CD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505D01"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R$                       11.188.950,78 </w:t>
            </w:r>
          </w:p>
        </w:tc>
      </w:tr>
      <w:tr w:rsidR="00505D01" w:rsidRPr="00505D01" w14:paraId="165B7BEE" w14:textId="77777777" w:rsidTr="00505D01">
        <w:trPr>
          <w:trHeight w:val="257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21C6501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505D01" w:rsidRPr="00505D01" w14:paraId="40C409BF" w14:textId="77777777" w:rsidTr="00505D01">
        <w:trPr>
          <w:trHeight w:val="272"/>
        </w:trPr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EAE2584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u w:val="single"/>
                <w:shd w:val="clear" w:color="auto" w:fill="FFFFFF"/>
              </w:rPr>
              <w:t>Nota explicativa:</w:t>
            </w:r>
          </w:p>
        </w:tc>
        <w:tc>
          <w:tcPr>
            <w:tcW w:w="8717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96" w:type="dxa"/>
              <w:bottom w:w="0" w:type="dxa"/>
              <w:right w:w="11" w:type="dxa"/>
            </w:tcMar>
            <w:vAlign w:val="bottom"/>
            <w:hideMark/>
          </w:tcPr>
          <w:p w14:paraId="09E21172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505D01" w:rsidRPr="00505D01" w14:paraId="6C398DEA" w14:textId="77777777" w:rsidTr="00505D01">
        <w:trPr>
          <w:trHeight w:val="272"/>
        </w:trPr>
        <w:tc>
          <w:tcPr>
            <w:tcW w:w="9488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BB6BB3B" w14:textId="77777777" w:rsidR="00505D01" w:rsidRPr="00505D01" w:rsidRDefault="00505D01" w:rsidP="00505D01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05D0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1) O valor de R$ 932.412,57 se refere ao valor mensal da nova propositura, sendo incluso os encargos sociais inerentes à mesma.</w:t>
            </w:r>
          </w:p>
        </w:tc>
      </w:tr>
    </w:tbl>
    <w:p w14:paraId="1BA4DAA3" w14:textId="251B8500" w:rsidR="00A67354" w:rsidRDefault="00835892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Explicou a tabela dizendo que é uma </w:t>
      </w:r>
      <w:r w:rsidR="00505D01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ação</w:t>
      </w:r>
      <w:r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continuada, que se implementa para os demais anos. Ele </w:t>
      </w:r>
      <w:r w:rsidR="00505D01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</w:t>
      </w:r>
      <w:r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reestudado podendo haver uma alteração ou outra, não fugindo dess</w:t>
      </w:r>
      <w:r w:rsidR="00505D01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valor aqui apresentado. Mencionou a composição </w:t>
      </w:r>
      <w:r w:rsidR="00A67354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dos recursos destinados à manutenção e desenvolvimento do ensino – MDE - Disposição conforme art. 212, caput, da Constituição Federal: “Art. 212. A União aplicará, anualmente, nunca menos de dezoito, e os Estados, o Distrito Federal </w:t>
      </w:r>
      <w:r w:rsidR="00A67354" w:rsidRPr="00A673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e </w:t>
      </w:r>
      <w:r w:rsidR="00A67354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 Municípios vinte e cinco por cento, no mínimo, da receita resultante de impostos, compreendida a proveniente de transferências, na manutenção e desenvolvimento do ensino. Compõe os recursos aplicados na MDE e Fundeb: 25% dos Impostos Municipais (MDE): IPTU – ITBI – IRRF – ISS; e 25% das Transferências Correntes (20% para o Fundeb + 5% para a MDE): ICMS </w:t>
      </w:r>
      <w:proofErr w:type="gramStart"/>
      <w:r w:rsidR="00A67354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 FPM</w:t>
      </w:r>
      <w:proofErr w:type="gramEnd"/>
      <w:r w:rsidR="00A67354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IPVA – ITR -IPI.</w:t>
      </w:r>
      <w:r w:rsidR="00A67354" w:rsidRPr="00A67354">
        <w:rPr>
          <w:rFonts w:ascii="Times New Roman" w:eastAsiaTheme="minorEastAsia" w:hAnsi="Times New Roman" w:cs="Times New Roman"/>
          <w:color w:val="FFFF00"/>
          <w:kern w:val="24"/>
          <w:sz w:val="24"/>
          <w:szCs w:val="24"/>
          <w:lang w:eastAsia="pt-BR"/>
        </w:rPr>
        <w:t xml:space="preserve"> </w:t>
      </w:r>
      <w:r w:rsidR="00A67354" w:rsidRP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Chamou atenção mencionando que não integra o Fundeb a transferência de recursos da União correspondente ao Imposto de Renda Retido na Fonte (IRRF), tampouco os três impostos municipais: Imposto sobre Propriedade Territorial Urbana (IPTU), Imposto sobre Serviços de Qualquer Natureza (ISS ou ISSQN) e Imposto sobre Transmissão de Bens Inter vivos (ITBI).TRANSFERÊNCIAS – Base Out/2023 e Projetado para DEZ/2023</w:t>
      </w:r>
      <w:r w:rsidR="00501862"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Apresentou um gráfico contendo as receitas de transferências; </w:t>
      </w:r>
      <w:proofErr w:type="spellStart"/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ICMs</w:t>
      </w:r>
      <w:proofErr w:type="spellEnd"/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FPM, IPVA</w:t>
      </w:r>
      <w:r w:rsid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onde a </w:t>
      </w:r>
      <w:r w:rsidR="00501862"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previsão do déficit de arrecadação para 2023 para estas transferências</w:t>
      </w:r>
      <w:r w:rsid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de </w:t>
      </w:r>
      <w:r w:rsidR="00501862"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R$42.322.145</w:t>
      </w:r>
    </w:p>
    <w:p w14:paraId="6278B9DB" w14:textId="5761CB71" w:rsidR="00501862" w:rsidRDefault="00501862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862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7DE9DA53" wp14:editId="0F6992C6">
            <wp:extent cx="4296093" cy="1184553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093" cy="118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15688" w14:textId="77777777" w:rsidR="00501862" w:rsidRPr="00501862" w:rsidRDefault="00501862" w:rsidP="0050186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Expectativa de arrecadação menor que 2022 em 9,45% e 17,39% menor em relação ao orçado para 2023. </w:t>
      </w:r>
    </w:p>
    <w:p w14:paraId="5DC69214" w14:textId="21356979" w:rsidR="00501862" w:rsidRDefault="00501862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862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 wp14:anchorId="7894963F" wp14:editId="7754DD54">
            <wp:extent cx="4296093" cy="1297368"/>
            <wp:effectExtent l="0" t="0" r="9525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093" cy="129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2C84" w14:textId="77777777" w:rsidR="00501862" w:rsidRPr="00501862" w:rsidRDefault="00501862" w:rsidP="0050186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Expectativa de arrecadação maior que 2022 em 45,19% e 27,43</w:t>
      </w:r>
      <w:proofErr w:type="gramStart"/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%  maior</w:t>
      </w:r>
      <w:proofErr w:type="gramEnd"/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em relação ao orçado para 2023. </w:t>
      </w:r>
    </w:p>
    <w:p w14:paraId="191BFF3B" w14:textId="6B93F5CE" w:rsidR="00501862" w:rsidRDefault="00501862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42CE">
        <w:rPr>
          <w:rFonts w:ascii="Times New Roman" w:hAnsi="Times New Roman" w:cs="Times New Roman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1E55230C" wp14:editId="432E4F7D">
            <wp:extent cx="4296093" cy="1297368"/>
            <wp:effectExtent l="0" t="0" r="9525" b="0"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093" cy="129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CEA1D" w14:textId="323AD27C" w:rsidR="00835892" w:rsidRDefault="00501862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Expectativa de </w:t>
      </w:r>
      <w:proofErr w:type="gramStart"/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arrecadação  menor</w:t>
      </w:r>
      <w:proofErr w:type="gramEnd"/>
      <w:r w:rsidRPr="00501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2022 em 2,39% e 6,02% menor em relação ao orçado para arrecadação em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Já foi aprovado uma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ei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omplementar para recomposição desses recur</w:t>
      </w:r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os.  Certos </w:t>
      </w:r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stado</w:t>
      </w:r>
      <w:r w:rsidR="00A67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essa recomposição será em 2025 que é nosso caso, mas outros já tiveram em 2022, 2023.O que está ajudando o município é o IPVA</w:t>
      </w:r>
      <w:r w:rsidR="00017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Apresentou um gráfico contendo um comparativo da evolução da despesa de pessoal nas secretarias </w:t>
      </w:r>
      <w:r w:rsidR="008358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Comparativo para demonstração</w:t>
      </w:r>
      <w:r w:rsidR="00017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contendo o orçado e o liquidado de 2021, 2022 e 2023. Logo após, apresentou uma análise do investimento em educação – exercício 2023 em relação ao FUNDEB, </w:t>
      </w:r>
      <w:proofErr w:type="gramStart"/>
      <w:r w:rsidR="00017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 já</w:t>
      </w:r>
      <w:proofErr w:type="gramEnd"/>
      <w:r w:rsidR="000171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ultrapassou seu limite.</w:t>
      </w:r>
      <w:r w:rsidR="004A40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W w:w="13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1985"/>
        <w:gridCol w:w="7296"/>
      </w:tblGrid>
      <w:tr w:rsidR="0001718B" w:rsidRPr="0001718B" w14:paraId="48267A5C" w14:textId="77777777" w:rsidTr="0001718B">
        <w:trPr>
          <w:trHeight w:val="584"/>
        </w:trPr>
        <w:tc>
          <w:tcPr>
            <w:tcW w:w="132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EE8D1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VALORES DE APLICAÇÃO EM PROGRAMAS DE EDUCAÇÃO – </w:t>
            </w:r>
            <w:proofErr w:type="gramStart"/>
            <w:r w:rsidRPr="0001718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2023  (</w:t>
            </w:r>
            <w:proofErr w:type="gramEnd"/>
            <w:r w:rsidRPr="0001718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R$)</w:t>
            </w:r>
          </w:p>
        </w:tc>
      </w:tr>
      <w:tr w:rsidR="0001718B" w:rsidRPr="0001718B" w14:paraId="0216B630" w14:textId="77777777" w:rsidTr="004A4001">
        <w:trPr>
          <w:trHeight w:val="584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0EC80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Recursos de Aplicação Constitucional acrescidos de recursos extras assumidos pelo </w:t>
            </w:r>
            <w:proofErr w:type="gramStart"/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Município(</w:t>
            </w:r>
            <w:proofErr w:type="gramEnd"/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merenda escolar, inativos e pensionistas, Biblioteca Pública)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D8C24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200.995.808,00</w:t>
            </w:r>
          </w:p>
        </w:tc>
        <w:tc>
          <w:tcPr>
            <w:tcW w:w="7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63047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Investimento superior a 31%</w:t>
            </w:r>
          </w:p>
        </w:tc>
      </w:tr>
      <w:tr w:rsidR="0001718B" w:rsidRPr="0001718B" w14:paraId="1E6C6933" w14:textId="77777777" w:rsidTr="004A4001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8113A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Recursos de aplicação Constitucional (estimado até final de 2023)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9A3FC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187.958.393,00</w:t>
            </w:r>
          </w:p>
        </w:tc>
        <w:tc>
          <w:tcPr>
            <w:tcW w:w="7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4B0B9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29,6645% da base de cálculo</w:t>
            </w:r>
          </w:p>
        </w:tc>
      </w:tr>
      <w:tr w:rsidR="0001718B" w:rsidRPr="0001718B" w14:paraId="3862E131" w14:textId="77777777" w:rsidTr="004A4001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C81A6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Base de Cálculo Constitucional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69904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158.403.734,00</w:t>
            </w:r>
          </w:p>
        </w:tc>
        <w:tc>
          <w:tcPr>
            <w:tcW w:w="7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914E1" w14:textId="77777777" w:rsidR="0001718B" w:rsidRPr="0001718B" w:rsidRDefault="0001718B" w:rsidP="0001718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171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Mínimo de 25%</w:t>
            </w:r>
          </w:p>
        </w:tc>
      </w:tr>
    </w:tbl>
    <w:p w14:paraId="5C15F37B" w14:textId="7866FCB8" w:rsidR="004A4001" w:rsidRDefault="004A4001" w:rsidP="004A400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40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Total de Recursos a considerar = R$ 633.614.938,00 (Efetivado até outubro de 2023 e estimado para novembro e dezembro de 2023). Para 2023 consideramos um total de 633.614.938,00. Em cima desse valor é que utilizamos 25%. Atualmente temos o estimado de 187.958.393,00, </w:t>
      </w:r>
      <w:proofErr w:type="gramStart"/>
      <w:r w:rsidRPr="004A40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 seja</w:t>
      </w:r>
      <w:proofErr w:type="gramEnd"/>
      <w:r w:rsidRPr="004A40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dos 25% temos quase 29%.  Temos ainda recursos extras que não são computados nos 25% que são custeados pelo tesouro.</w:t>
      </w:r>
    </w:p>
    <w:p w14:paraId="21FA215F" w14:textId="77777777" w:rsidR="004A4001" w:rsidRPr="004A4001" w:rsidRDefault="004A4001" w:rsidP="004A400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11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1985"/>
        <w:gridCol w:w="5216"/>
      </w:tblGrid>
      <w:tr w:rsidR="004A4001" w:rsidRPr="004A4001" w14:paraId="32509BC0" w14:textId="77777777" w:rsidTr="004A4001">
        <w:trPr>
          <w:trHeight w:val="798"/>
        </w:trPr>
        <w:tc>
          <w:tcPr>
            <w:tcW w:w="111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2C873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DISPONIBILIDADE RECURSOS FUNDEB </w:t>
            </w:r>
            <w:proofErr w:type="gramStart"/>
            <w:r w:rsidRPr="004A400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–  Estimado</w:t>
            </w:r>
            <w:proofErr w:type="gramEnd"/>
            <w:r w:rsidRPr="004A400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para Dez/2023 (R$)</w:t>
            </w:r>
          </w:p>
        </w:tc>
      </w:tr>
      <w:tr w:rsidR="004A4001" w:rsidRPr="004A4001" w14:paraId="4F4D6BE7" w14:textId="77777777" w:rsidTr="004A4001">
        <w:trPr>
          <w:trHeight w:val="584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3E286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Receita Prevista para arrecadação do FUNDEB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61D59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94.586.689,00</w:t>
            </w:r>
          </w:p>
        </w:tc>
        <w:tc>
          <w:tcPr>
            <w:tcW w:w="52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0C409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A4001" w:rsidRPr="004A4001" w14:paraId="6A55B403" w14:textId="77777777" w:rsidTr="004A4001">
        <w:trPr>
          <w:trHeight w:val="323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16691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Despesa Prevista financiadas com recursos do FUNDEB (considerando folhas de </w:t>
            </w:r>
            <w:proofErr w:type="spellStart"/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nov</w:t>
            </w:r>
            <w:proofErr w:type="spellEnd"/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/23, dez/23 e 13º/23)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A6DC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                104.395.879,00 </w:t>
            </w:r>
          </w:p>
          <w:p w14:paraId="7A662C1F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           </w:t>
            </w:r>
          </w:p>
        </w:tc>
        <w:tc>
          <w:tcPr>
            <w:tcW w:w="5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7982C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A4001" w:rsidRPr="004A4001" w14:paraId="58ED2316" w14:textId="77777777" w:rsidTr="004A4001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7C3BC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Saldo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CEBAB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- 9.809.190,00</w:t>
            </w:r>
          </w:p>
        </w:tc>
        <w:tc>
          <w:tcPr>
            <w:tcW w:w="5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A005F" w14:textId="77777777" w:rsidR="004A4001" w:rsidRPr="004A4001" w:rsidRDefault="004A4001" w:rsidP="004A4001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0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Déficit Financeiro</w:t>
            </w:r>
          </w:p>
        </w:tc>
      </w:tr>
    </w:tbl>
    <w:p w14:paraId="08FDB128" w14:textId="7A328D99" w:rsidR="00E6482C" w:rsidRDefault="00E6482C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Dados levantados pela secreta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de plan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eja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nto que trabalho. N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mínimo esse é o déficit de complem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entação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</w:t>
      </w:r>
      <w:r w:rsid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FUNDEB.</w:t>
      </w:r>
    </w:p>
    <w:tbl>
      <w:tblPr>
        <w:tblW w:w="11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1985"/>
        <w:gridCol w:w="5096"/>
      </w:tblGrid>
      <w:tr w:rsidR="00FF5B97" w:rsidRPr="00FF5B97" w14:paraId="14EF7CBF" w14:textId="77777777" w:rsidTr="00FF5B97">
        <w:tc>
          <w:tcPr>
            <w:tcW w:w="110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EAAEA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VALORES DE APLICAÇÃO DE ACORDO COM FONTE DE FINANCIAMENTO (R$)</w:t>
            </w:r>
          </w:p>
        </w:tc>
      </w:tr>
      <w:tr w:rsidR="00FF5B97" w:rsidRPr="00FF5B97" w14:paraId="66CF9FF6" w14:textId="77777777" w:rsidTr="00FF5B97">
        <w:trPr>
          <w:trHeight w:val="584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16588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0EA72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ORÇADO</w:t>
            </w:r>
          </w:p>
        </w:tc>
        <w:tc>
          <w:tcPr>
            <w:tcW w:w="5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5F01A9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REALIZADO (estimado)</w:t>
            </w:r>
          </w:p>
        </w:tc>
      </w:tr>
      <w:tr w:rsidR="00FF5B97" w:rsidRPr="00FF5B97" w14:paraId="181646B2" w14:textId="77777777" w:rsidTr="00FF5B97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88BF7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RECURSOS DO FUNDEB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E5648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94.586.689,00</w:t>
            </w:r>
          </w:p>
        </w:tc>
        <w:tc>
          <w:tcPr>
            <w:tcW w:w="5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0A992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104.395.879,00</w:t>
            </w:r>
          </w:p>
        </w:tc>
      </w:tr>
      <w:tr w:rsidR="00FF5B97" w:rsidRPr="00FF5B97" w14:paraId="13CFD3C8" w14:textId="77777777" w:rsidTr="00FF5B97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2E06D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RECURSOS DO TESOURO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86D31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83.153.194,00</w:t>
            </w:r>
          </w:p>
        </w:tc>
        <w:tc>
          <w:tcPr>
            <w:tcW w:w="5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1E876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96.599.929,00</w:t>
            </w:r>
          </w:p>
        </w:tc>
      </w:tr>
      <w:tr w:rsidR="00FF5B97" w:rsidRPr="00FF5B97" w14:paraId="62D90398" w14:textId="77777777" w:rsidTr="00FF5B97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C5C20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TOTAL .......................................................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70181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177.739.883,00</w:t>
            </w:r>
          </w:p>
        </w:tc>
        <w:tc>
          <w:tcPr>
            <w:tcW w:w="5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18F74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200.995.808,00</w:t>
            </w:r>
          </w:p>
        </w:tc>
      </w:tr>
      <w:tr w:rsidR="00FF5B97" w:rsidRPr="00FF5B97" w14:paraId="1CA38BF8" w14:textId="77777777" w:rsidTr="00FF5B97">
        <w:trPr>
          <w:trHeight w:val="58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BCFBC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DEFICIT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D4041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6D919" w14:textId="77777777" w:rsidR="00FF5B97" w:rsidRPr="00FF5B97" w:rsidRDefault="00FF5B97" w:rsidP="00FF5B9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F5B9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- 23.255.925,00</w:t>
            </w:r>
          </w:p>
        </w:tc>
      </w:tr>
    </w:tbl>
    <w:p w14:paraId="5CC9233D" w14:textId="57A278FD" w:rsidR="00867721" w:rsidRPr="00FE48E6" w:rsidRDefault="00FF5B97" w:rsidP="002F21E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iferença financiada com recursos do tesouro.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</w:t>
      </w:r>
      <w:r w:rsidRP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 realizado até outubro somados ao déficit receita FUNDEB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P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cobertura  complementar</w:t>
      </w:r>
      <w:proofErr w:type="gramEnd"/>
      <w:r w:rsidRP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investimento em educação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Pr="00FF5B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$23.255.925,00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Esse valor não reduz. Em cima disso, digo que para o ano de 2024 teria que ser refeito, porque a secretaria 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ó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impl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ement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a despesa quando ela apresenta uma despesa ou diminui uma despesa. Ela não aumenta a receita, então não contamos com isso. Precisar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amos de diminuir as despesas 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ecretaria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Educação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 determinadas ações, o que não cabe 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ecretaria 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azenda.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 despesas da Secretaria de Educação estão presentes n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prestação de contas que aqui apresentamos por quadrimestre, pormenorizados. Essa projeção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aqui hoje 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 atual. Conseguindo mais recursos, entendemos que até o final do exercício pode haver implemento na receit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podendo ser reavaliado.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Presidente Vereador Rodrigo Braga questionou se e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xiste possibilidade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recursos e qual seria e foi informado por Rafael que existe a possibilidade até março do ano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vem, estudamos essa possibilidade.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Já ultrapassamos os 25% e estamos 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uma expectativa de 23.285 mil além dos 25% e do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FUNDEB</w:t>
      </w:r>
      <w:r w:rsidR="00E64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 Vereador Rodrigo Braga, dando continuidade à reunião solicitou aos inscritos que dentro do que aqui foi explanado, façam seus questionamentos. Vereadora Heloísa Frois </w:t>
      </w:r>
      <w:proofErr w:type="gramStart"/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Público</w:t>
      </w:r>
      <w:proofErr w:type="gramEnd"/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notória a queda dos repasses aos Municí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io. É uma queda nacional.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uma realidade nacional. Queda da arrecadação e inadimplência ao Município existe. Temos que estudar o que pode ser feito. Ano p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ssado houve um recurso, mas não podemos ter a certeza dele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esse ano.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Situação preocupante para o Município. Rafael informou que até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março pode ser 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reprogramado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94BA1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Vereador Pastor Alcides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 realidade nosso 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 é uma junção. Produção da receita federal está nas ind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ú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strias. Temos uma arrecadação diminuta, onde a percepção de que os recursos diminuíram está gritante. A educação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a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base da sociedade, dentro disso nossa per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pectiva não é das melhores, dentro do aqui apresentado e da realidade política. Precisam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um malabarismo do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ongresso 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acional. </w:t>
      </w:r>
      <w:r w:rsidR="008D6946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</w:t>
      </w:r>
      <w:r w:rsidR="00894BA1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afael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mencionou que já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estão s</w:t>
      </w:r>
      <w:r w:rsidR="00894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mobilizando. Vários municípios receberam a mais do que estava orçado. Recomposição do FPM é parcelada. Reforma tributária tira total a autonomia das receitas. Ficamos 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mercê do Estado. Pre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samos literalmente de fazer malabarismo.  Desde fevereiro já rep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rogramamos</w:t>
      </w:r>
      <w:r w:rsidR="008D69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algumas receitas. </w:t>
      </w:r>
      <w:r w:rsidR="00734CF4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Vereador Pastor Alcides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citou que temos 1.200 milhão para Sete Lagoas, ou seja 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25% disso.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Depois 800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mil 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</w:t>
      </w:r>
      <w:proofErr w:type="gramEnd"/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dividir para os municípios. Não sobra quase nada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D784C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BD784C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Ivson</w:t>
      </w:r>
      <w:proofErr w:type="spellEnd"/>
      <w:r w:rsidR="00BD78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Acompanhei a audiência passada e me foi </w:t>
      </w:r>
      <w:proofErr w:type="gramStart"/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informado  que</w:t>
      </w:r>
      <w:proofErr w:type="gramEnd"/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inúmeras alternativas </w:t>
      </w:r>
      <w:r w:rsidR="00734C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foram apresentadas. </w:t>
      </w:r>
      <w:r w:rsidR="00BD78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 2019 foi repassado mais de 2 milhões e meio. Não precisaria apenas da boa vontade do prefeito para pagar o piso?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Rafael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Não é uma ação do Executivo. Recomposição do FUNDEB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gradativo até 2023. Minas não foi contemplado. Já foi pressão política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Presidente Vereador Rodrigo Braga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Isso que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</w:t>
      </w:r>
      <w:r w:rsidR="00BE53AF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vson</w:t>
      </w:r>
      <w:proofErr w:type="spellEnd"/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citou foi estatal e não municipal. A União chegar ao município é muito difícil.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anos estamos discutindo o assunto. Não é fácil. Talvez seja a hora das prefeituras se reuniram para cobrarem do Estado. Reunirmos com os deputados para que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repasse 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venha de cima para baixo, se não houver solução junto ao município. De onde tiraremos esse recurso? Estamos aqui para ser informados. Verbas são carimbadas.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Secretária Rosilene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esclareceu que teríamos que cortar verbas da Educação.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Presidente Vereador Rodrigo Braga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questionou quanto precisaríamos para adequar o piso, e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Rafael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informou que não podemos tirar 05 milhões de qualquer lugar, pois somos engessados.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Secretária Rosilene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mencionou que receita a gente não inventa.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Ivson</w:t>
      </w:r>
      <w:proofErr w:type="spellEnd"/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mencionou que a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realidade vem nas greves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 que fez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uma representação no Ministério </w:t>
      </w:r>
      <w:r w:rsidR="00C7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úblico. </w:t>
      </w:r>
      <w:r w:rsidR="005D42CE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Vereador Pastor Alcides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questionou se as representações que o Vereador </w:t>
      </w:r>
      <w:proofErr w:type="spellStart"/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Ivson</w:t>
      </w:r>
      <w:proofErr w:type="spellEnd"/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tem feito tem tido resultados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inistério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Pú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blico tem como cobrar do </w:t>
      </w:r>
      <w:r w:rsidR="005D42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BE5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overno Federal?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município depende disso. Criticar o executivo é fácil. Precisamos ver a realidade, uma solução. Quando se faz uma representação ao MP sem embasamento, não haverá alcance. Os números não mentem.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B6012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2B519D" w:rsidRPr="00C732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Ivson</w:t>
      </w:r>
      <w:proofErr w:type="spellEnd"/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informou que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 questionamento foi em cima do aqui apres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tado.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B6012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Vereadora </w:t>
      </w:r>
      <w:proofErr w:type="gramStart"/>
      <w:r w:rsidR="002B519D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Heloisa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mencionou</w:t>
      </w:r>
      <w:proofErr w:type="gramEnd"/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entr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 um 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Projeto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aqui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Casa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sobre contratação de vagas</w:t>
      </w:r>
      <w:r w:rsidR="00FB6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 crianças de 0 a 3 anos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 creches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 cidade, e que fez uma pesquisa verificando que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em outros Municípios assim foi feito, e que isso deu um aumento na verba da Secretaria de Educação. </w:t>
      </w:r>
      <w:r w:rsidR="009238DB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Rafael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 conseguirmos suprir os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índices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teremos, os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repasse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as mais. Ter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amos que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ter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programas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para cumprir os índices para que tenhamos maior índice. Temos que reprogramar para termos mais recursos. </w:t>
      </w:r>
      <w:r w:rsidR="009238DB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2B519D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Ivson</w:t>
      </w:r>
      <w:proofErr w:type="spellEnd"/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onstitucional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mente</w:t>
      </w:r>
      <w:r w:rsidR="00C7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25% é o mínimo. Remanejamento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é o que precisa. </w:t>
      </w:r>
      <w:r w:rsidR="002B519D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Rafael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xecutivo</w:t>
      </w:r>
      <w:proofErr w:type="gramEnd"/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está aplicando a m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 na educação, tirando de outras secretarias. Dentro das ações já existentes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fazemos novas ade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ações de remanejamento. Precisamos de fazer isso no orçamento, por ele ser engessado.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38DB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Presidente Vereador Rodrigo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Sabemos que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precisamo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 milhões, e podemos tirar de outras ações, desde que programadas.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38DB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Vereadora </w:t>
      </w:r>
      <w:r w:rsidR="002B519D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Heloisa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esse projeto 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fiz, </w:t>
      </w:r>
      <w:r w:rsidR="002B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foi um grande sucesso na outra cidade. 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Essa é uma alternativa. Tem cidades que estão conseguindo executar o piso. É uma questão de buscar alternativas. Precisamos priorizar as pessoas. Existem soluções. Atendimento a crianças de 0 a 3 vai ampliar o repasse. O quadro de déficit é preocupante. Precisamos tirar o supérfluo.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38DB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Presidente Vereador Rodrigo</w:t>
      </w:r>
      <w:r w:rsidR="00923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Não é privatização. Temos 1951 crianças fora da creche. Quando o Município paga as escolas particulares para ingressar essas crianças e aí então sobrar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á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dinheiro.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2740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Flávia Lúcia – Coordenadora do </w:t>
      </w:r>
      <w:proofErr w:type="spellStart"/>
      <w:r w:rsidR="0002740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SindUte</w:t>
      </w:r>
      <w:proofErr w:type="spellEnd"/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Dinheiro público é para escola pública. Foi aprovado o 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CMF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ducacional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 eu gostaria de saber se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Municí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E27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io deixou de 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receber esse dinheiro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Não precisamos de levar alunos para rede privad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Só precisamos que o município cumpra a meta para receber o ICMF educacional. Na conta do FUNDEB ficamos sem aplicar desde 2019. O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overno de Minas está querendo acabar com funcionalismo público.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esse r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egime de recuperação fiscal 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passar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nove anos de congelamento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salarial, ou seja: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3% de reajuste em 2024 e 3% em 2028. Tenho uma reunião com o prefeito agora. Mas acho que levar os alunos para escola privada não é a solução. Precisamos ter escola de qualidade e acabar com cabide emprego. Como pagaremos escolas particulares </w:t>
      </w:r>
      <w:proofErr w:type="gramStart"/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 não</w:t>
      </w:r>
      <w:proofErr w:type="gramEnd"/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conseguimos pagar o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iso aos professores.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60F3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</w:t>
      </w:r>
      <w:r w:rsidR="0002740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ilson</w:t>
      </w:r>
      <w:proofErr w:type="spellEnd"/>
      <w:r w:rsidR="0002740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Pereira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O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xecutivo não apresentou propostas, soluções. Nos últimos trimestre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s,</w:t>
      </w:r>
      <w:r w:rsidR="00ED6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 25% não foram fechados. Isso é falta de planejamento. Esse dinheiro era pra ser investido na educação e não foi. Não tem justificativa. Compra de imóveis milionários enquanto não se paga o piso. Temos que repensar os gastos da Educação. Desde 2008 estamos nessa luta. Todo ano o FUNDEB é revisado e nós não recebemos. Não temos clareza nas prestações de contas. 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juntarmos o dinheiro que não foi aplicado,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daria um montante e 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onde está? Nada nos foi aqui apresentado. 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 Vereador Rodrigo Braga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disse que o</w:t>
      </w:r>
      <w:r w:rsidR="000274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osso objetivo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aqui nesta Casa Legislativa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abrir as contas públicas para que todos te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nham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acesso a elas.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Precisamos de 11 milhões para poder pagar o </w:t>
      </w:r>
      <w:proofErr w:type="spellStart"/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piso.</w:t>
      </w:r>
      <w:r w:rsidR="00CF30DE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Sra</w:t>
      </w:r>
      <w:proofErr w:type="spellEnd"/>
      <w:r w:rsidR="00CF30DE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Tatiane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As propostas, se juntarmos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tudo que aqui foi dito,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redistribuição de recursos. Sugeriu que participássemos mais no plano de governo. Somos pessoas leigas nesse assunto. </w:t>
      </w:r>
      <w:r w:rsidR="00CF30DE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Sra. Gabriela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Questionou quem fiscalizou o i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nvesti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mento de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 23 milhões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compra de 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prédios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os 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milhões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gastos em reformas dos prédios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Quem fiscaliza a utilização desses recur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os? Os funcionários são levados a cursos que não temos interesse, e outros que queremos participar e não conseguimos.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CD68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omo são fiscalizados esses gastos nesses cursos? Quais os critérios utilizados para os gastos da educação?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Rafael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Em resposta aos questionamentos anteriores.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MS da </w:t>
      </w:r>
      <w:proofErr w:type="gramStart"/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educação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está</w:t>
      </w:r>
      <w:proofErr w:type="gramEnd"/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aplicado na educação, mas precisa de readequação. Precisamos de reestruturar para receber. Não foi citada a despesa só a receita. O município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receber qualquer recurso tem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ue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</w:t>
      </w:r>
      <w:r w:rsidR="00CF30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legível no 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CAUC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Se não tiver legível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não recebe nada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stamos </w:t>
      </w:r>
      <w:proofErr w:type="gramStart"/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legível</w:t>
      </w:r>
      <w:proofErr w:type="gramEnd"/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 prestação de contas já foi feita para o tribunal, quando são feitas mensalmente. Se trouxe receitas, traga também a despesa. Na conta tem que tem o saldo FUNDEB se não tiver não receberíamos. Mas já está comprometido com o pagamento dos funcionários mensal até dezembro.  O saldo tem que ser no final do exercício. Se v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ocê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fechar até out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bro é logico que não fechou. O município está investindo na educação, mas tem sim que priorizar situações. Quando o orçamento é colocado na Câmara a população já e convidada a participar. Podemos sim dar mais divulgação. Não se gasta muito com cursos, existem parcerias. Priorizamos a capacitação do servidor. Sou totalmente contra reduzir a capacitação do servidor. </w:t>
      </w:r>
      <w:r w:rsidR="00CA00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61F" w:rsidRPr="00CA00B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Flávia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no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aís não existe punição para os municípios que não atingem o índice do FUNDEB. Precisar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amos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ter aqui 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também a presença do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onselho do FUNDEB. O ICMS educacional passou agora e o Município precisa cumprir as ações para receber.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48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Secretária Rosilene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206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MP exigiu a construção do prédio da CEMEI. Em relação aos cursos, pagamos algu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ns e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 demais palestras são gratuitas.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Quanto as r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eformas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vamos paralisar uma obra para </w:t>
      </w:r>
      <w:proofErr w:type="spellStart"/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replanilhar</w:t>
      </w:r>
      <w:proofErr w:type="spellEnd"/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outras houve alguns vandalismos e temos que refazer. Vamos continuar com os cursos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vamos continuar capacitando nossos funcionários sim. </w:t>
      </w:r>
      <w:r w:rsidR="00FE48E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Presidente Vereador Rodrigo</w:t>
      </w:r>
      <w:r w:rsidR="00FE48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- </w:t>
      </w:r>
      <w:r w:rsidR="00476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Encontramos o caminho agora. Pegar o orçamento e cortar até chegar aos 11 milhões. Apresentou o requerimento que foi protocolado nesse momento nessa Casa como resultado dessa reunião. Precisamos nos reunir para que as pessoas não falem que o Vereador Rodrigo cortou a vinda do show do fulano, a Vereadora Heloisa cortou a verba de cultura. “A verbalização vislumbra o mistério”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E48E6" w:rsidRPr="00FE48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Vereador </w:t>
      </w:r>
      <w:proofErr w:type="spellStart"/>
      <w:r w:rsidR="009F4A0A" w:rsidRPr="00FE48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Ivson</w:t>
      </w:r>
      <w:proofErr w:type="spellEnd"/>
      <w:r w:rsidR="009F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continuo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9F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afirmando que falta boa vontade do prefeito e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</w:t>
      </w:r>
      <w:r w:rsidR="00FE48E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Presidente Vereador </w:t>
      </w:r>
      <w:proofErr w:type="gramStart"/>
      <w:r w:rsidR="00FE48E6" w:rsidRPr="00CF30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Rodrigo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mencionou</w:t>
      </w:r>
      <w:proofErr w:type="gramEnd"/>
      <w:r w:rsidR="009F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depende também de nós vereadores </w:t>
      </w:r>
      <w:proofErr w:type="spellStart"/>
      <w:r w:rsidR="009F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agora.</w:t>
      </w:r>
      <w:r w:rsidR="00FE5C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proofErr w:type="spellEnd"/>
      <w:r w:rsidR="00FE5C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5C4B" w:rsidRPr="00327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 encerrou </w:t>
      </w:r>
      <w:r w:rsidR="00FE5C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então a</w:t>
      </w:r>
      <w:r w:rsidR="00FE5C4B" w:rsidRPr="00327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4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Reunião Especial</w:t>
      </w:r>
      <w:r w:rsidR="00FE5C4B" w:rsidRPr="00327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E5C4B" w:rsidRPr="00327B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íntegra desta reunião especial/audiência pública encontra-se à disposição de todos na Secretaria Especial de Comunicação desta Casa Legislativa, e também disponibilizada em formato de vídeo no SAPL. Sete </w:t>
      </w:r>
      <w:proofErr w:type="gramStart"/>
      <w:r w:rsidR="00FE5C4B" w:rsidRPr="00327B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Lagoas,  </w:t>
      </w:r>
      <w:r w:rsidR="00FE48E6">
        <w:rPr>
          <w:rFonts w:ascii="Times New Roman" w:hAnsi="Times New Roman" w:cs="Times New Roman"/>
          <w:b/>
          <w:bCs/>
          <w:iCs/>
          <w:sz w:val="24"/>
          <w:szCs w:val="24"/>
        </w:rPr>
        <w:t>27</w:t>
      </w:r>
      <w:proofErr w:type="gramEnd"/>
      <w:r w:rsidR="00FE5C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r w:rsidR="00FE48E6">
        <w:rPr>
          <w:rFonts w:ascii="Times New Roman" w:hAnsi="Times New Roman" w:cs="Times New Roman"/>
          <w:b/>
          <w:bCs/>
          <w:iCs/>
          <w:sz w:val="24"/>
          <w:szCs w:val="24"/>
        </w:rPr>
        <w:t>novembro</w:t>
      </w:r>
      <w:r w:rsidR="00FE5C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202</w:t>
      </w:r>
      <w:r w:rsidR="00FE48E6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FE5C4B" w:rsidRPr="00327B0E">
        <w:rPr>
          <w:rFonts w:ascii="Times New Roman" w:hAnsi="Times New Roman" w:cs="Times New Roman"/>
          <w:b/>
          <w:bCs/>
          <w:iCs/>
          <w:sz w:val="24"/>
          <w:szCs w:val="24"/>
        </w:rPr>
        <w:t>, Jaqueline Helena Alves, matrícula 004./////////////////</w:t>
      </w:r>
      <w:r w:rsidR="00FE5C4B">
        <w:rPr>
          <w:rFonts w:ascii="Times New Roman" w:hAnsi="Times New Roman" w:cs="Times New Roman"/>
          <w:b/>
          <w:bCs/>
          <w:iCs/>
          <w:sz w:val="24"/>
          <w:szCs w:val="24"/>
        </w:rPr>
        <w:t>//////////////////////////</w:t>
      </w:r>
      <w:r w:rsidR="00FE48E6">
        <w:rPr>
          <w:rFonts w:ascii="Times New Roman" w:hAnsi="Times New Roman" w:cs="Times New Roman"/>
          <w:b/>
          <w:bCs/>
          <w:iCs/>
          <w:sz w:val="24"/>
          <w:szCs w:val="24"/>
        </w:rPr>
        <w:t>//////</w:t>
      </w:r>
    </w:p>
    <w:sectPr w:rsidR="00867721" w:rsidRPr="00FE48E6" w:rsidSect="005F7509">
      <w:pgSz w:w="11906" w:h="16838"/>
      <w:pgMar w:top="993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701D"/>
    <w:multiLevelType w:val="hybridMultilevel"/>
    <w:tmpl w:val="D2DCDA46"/>
    <w:lvl w:ilvl="0" w:tplc="440AA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7E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6CE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6A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A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6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84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E4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6D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004D92"/>
    <w:multiLevelType w:val="hybridMultilevel"/>
    <w:tmpl w:val="20F23968"/>
    <w:lvl w:ilvl="0" w:tplc="DB5C0D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C4C2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E4AD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90CF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2444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9029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D0079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A20C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586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E4"/>
    <w:rsid w:val="0001718B"/>
    <w:rsid w:val="00027406"/>
    <w:rsid w:val="002164D3"/>
    <w:rsid w:val="002A078F"/>
    <w:rsid w:val="002B519D"/>
    <w:rsid w:val="002F21E4"/>
    <w:rsid w:val="003E4B38"/>
    <w:rsid w:val="00476008"/>
    <w:rsid w:val="004A4001"/>
    <w:rsid w:val="00501862"/>
    <w:rsid w:val="00505D01"/>
    <w:rsid w:val="00574E45"/>
    <w:rsid w:val="005D42CE"/>
    <w:rsid w:val="005F7509"/>
    <w:rsid w:val="006252B9"/>
    <w:rsid w:val="00681FBF"/>
    <w:rsid w:val="006B6BE9"/>
    <w:rsid w:val="00716200"/>
    <w:rsid w:val="00734CF4"/>
    <w:rsid w:val="007610A1"/>
    <w:rsid w:val="007C7C22"/>
    <w:rsid w:val="00835892"/>
    <w:rsid w:val="008414C4"/>
    <w:rsid w:val="00852B09"/>
    <w:rsid w:val="00867721"/>
    <w:rsid w:val="00894BA1"/>
    <w:rsid w:val="008D6946"/>
    <w:rsid w:val="009238DB"/>
    <w:rsid w:val="00962378"/>
    <w:rsid w:val="00975D63"/>
    <w:rsid w:val="009F4A0A"/>
    <w:rsid w:val="00A67354"/>
    <w:rsid w:val="00A92C28"/>
    <w:rsid w:val="00AE7EBB"/>
    <w:rsid w:val="00BD3D68"/>
    <w:rsid w:val="00BD784C"/>
    <w:rsid w:val="00BE23F8"/>
    <w:rsid w:val="00BE53AF"/>
    <w:rsid w:val="00C73222"/>
    <w:rsid w:val="00CA00BC"/>
    <w:rsid w:val="00CB0380"/>
    <w:rsid w:val="00CD68A8"/>
    <w:rsid w:val="00CF30DE"/>
    <w:rsid w:val="00D2061F"/>
    <w:rsid w:val="00D304CA"/>
    <w:rsid w:val="00E270F6"/>
    <w:rsid w:val="00E54587"/>
    <w:rsid w:val="00E6482C"/>
    <w:rsid w:val="00E944E3"/>
    <w:rsid w:val="00ED60F3"/>
    <w:rsid w:val="00FB6012"/>
    <w:rsid w:val="00FE39CC"/>
    <w:rsid w:val="00FE48E6"/>
    <w:rsid w:val="00FE5C4B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78F6"/>
  <w15:chartTrackingRefBased/>
  <w15:docId w15:val="{562A18C4-C61B-4619-B5F8-FDA6463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E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1E4"/>
  </w:style>
  <w:style w:type="paragraph" w:styleId="NormalWeb">
    <w:name w:val="Normal (Web)"/>
    <w:basedOn w:val="Normal"/>
    <w:uiPriority w:val="99"/>
    <w:semiHidden/>
    <w:unhideWhenUsed/>
    <w:rsid w:val="00A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0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40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40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0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0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3133</Words>
  <Characters>16923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10</cp:revision>
  <cp:lastPrinted>2023-11-28T18:38:00Z</cp:lastPrinted>
  <dcterms:created xsi:type="dcterms:W3CDTF">2023-11-27T14:34:00Z</dcterms:created>
  <dcterms:modified xsi:type="dcterms:W3CDTF">2023-11-28T18:38:00Z</dcterms:modified>
</cp:coreProperties>
</file>